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33" w:rsidRPr="00B35E33" w:rsidRDefault="00B35E33" w:rsidP="00B35E33">
      <w:pPr>
        <w:spacing w:after="0" w:line="255" w:lineRule="atLeast"/>
        <w:jc w:val="center"/>
        <w:rPr>
          <w:rFonts w:ascii="Arial" w:eastAsia="Times New Roman" w:hAnsi="Arial" w:cs="Arial"/>
          <w:color w:val="000000"/>
          <w:sz w:val="20"/>
          <w:szCs w:val="20"/>
        </w:rPr>
      </w:pPr>
      <w:r w:rsidRPr="00B35E33">
        <w:rPr>
          <w:rFonts w:ascii="Tahoma" w:eastAsia="Times New Roman" w:hAnsi="Tahoma" w:cs="Tahoma"/>
          <w:b/>
          <w:bCs/>
          <w:i/>
          <w:iCs/>
          <w:color w:val="333399"/>
          <w:sz w:val="27"/>
        </w:rPr>
        <w:t>STRATEGIA UNIVERSITĂŢII “TITU MAIORESCU</w:t>
      </w:r>
      <w:r w:rsidRPr="00B35E33">
        <w:rPr>
          <w:rFonts w:ascii="Tahoma" w:eastAsia="Times New Roman" w:hAnsi="Tahoma" w:cs="Tahoma"/>
          <w:b/>
          <w:bCs/>
          <w:color w:val="333399"/>
          <w:sz w:val="27"/>
        </w:rPr>
        <w:t>"</w:t>
      </w:r>
    </w:p>
    <w:p w:rsidR="00B35E33" w:rsidRPr="00B35E33" w:rsidRDefault="00B35E33" w:rsidP="00B35E33">
      <w:pPr>
        <w:spacing w:after="0" w:line="255" w:lineRule="atLeast"/>
        <w:jc w:val="center"/>
        <w:rPr>
          <w:rFonts w:ascii="Arial" w:eastAsia="Times New Roman" w:hAnsi="Arial" w:cs="Arial"/>
          <w:color w:val="000000"/>
          <w:sz w:val="20"/>
          <w:szCs w:val="20"/>
        </w:rPr>
      </w:pPr>
      <w:r w:rsidRPr="00B35E33">
        <w:rPr>
          <w:rFonts w:ascii="Tahoma" w:eastAsia="Times New Roman" w:hAnsi="Tahoma" w:cs="Tahoma"/>
          <w:b/>
          <w:bCs/>
          <w:i/>
          <w:iCs/>
          <w:color w:val="333399"/>
          <w:sz w:val="27"/>
        </w:rPr>
        <w:t>în</w:t>
      </w:r>
    </w:p>
    <w:p w:rsidR="00B35E33" w:rsidRPr="00B35E33" w:rsidRDefault="00B35E33" w:rsidP="00B35E33">
      <w:pPr>
        <w:spacing w:after="0" w:line="255" w:lineRule="atLeast"/>
        <w:jc w:val="center"/>
        <w:rPr>
          <w:rFonts w:ascii="Arial" w:eastAsia="Times New Roman" w:hAnsi="Arial" w:cs="Arial"/>
          <w:color w:val="000000"/>
          <w:sz w:val="20"/>
          <w:szCs w:val="20"/>
        </w:rPr>
      </w:pPr>
      <w:r w:rsidRPr="00B35E33">
        <w:rPr>
          <w:rFonts w:ascii="Tahoma" w:eastAsia="Times New Roman" w:hAnsi="Tahoma" w:cs="Tahoma"/>
          <w:b/>
          <w:bCs/>
          <w:i/>
          <w:iCs/>
          <w:color w:val="333399"/>
          <w:sz w:val="27"/>
        </w:rPr>
        <w:t>ACTIVITATEA DE CERCETARE, DEZVOLTARE ŞI INOVARE </w:t>
      </w:r>
      <w:r w:rsidRPr="00B35E33">
        <w:rPr>
          <w:rFonts w:ascii="Tahoma" w:eastAsia="Times New Roman" w:hAnsi="Tahoma" w:cs="Tahoma"/>
          <w:b/>
          <w:bCs/>
          <w:i/>
          <w:iCs/>
          <w:color w:val="333399"/>
          <w:sz w:val="27"/>
          <w:szCs w:val="27"/>
        </w:rPr>
        <w:br/>
      </w:r>
      <w:r w:rsidRPr="00B35E33">
        <w:rPr>
          <w:rFonts w:ascii="Tahoma" w:eastAsia="Times New Roman" w:hAnsi="Tahoma" w:cs="Tahoma"/>
          <w:b/>
          <w:bCs/>
          <w:i/>
          <w:iCs/>
          <w:color w:val="333399"/>
          <w:sz w:val="27"/>
        </w:rPr>
        <w:t>pentru perioada 2008-2013</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t> </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t> </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b/>
          <w:bCs/>
          <w:color w:val="0000FF"/>
          <w:sz w:val="24"/>
          <w:szCs w:val="24"/>
        </w:rPr>
        <w:t>1. SITUAŢIA ŞI PROVOCĂRILE ACTUALE</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t> </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t>Strategia, Universităţii TITU MAIORESCU din Bucureşti în domeniul Cercetării, Dezvoltării şi Inovării (CDI) pentru perioada 2008 - 2013 are la bază rolul ştiinţei, tehnologiei si inovării în dezvoltarea societăţii cunoaşterii în România, pentru progresul economic şi social.</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Pentru elaborarea strategiei, a fost realizată o amplă analiză a stării sistemului CDI din universitate, cu puncte tari, puncte slabe, oportunităţi şi riscuri, în contextul social şi economic naţional, dar şi prin prisma globalizării şi integrării în Uniunea Europeană. Au fost consultate cadrele didactice reprezentative din U.T.M. şi s-a avut în vedere complementaritatea, sinergia şi strânsa legatură cu documentele economice şi politice naţionale, strategia din domeniul educatiei, în mod deosebit în domeniul învăţământului superior, planuri, inclusiv Planul Naţional de Cercetare, Dezvoltare şi Inovare – PN II.</w:t>
      </w:r>
      <w:r w:rsidRPr="00B35E33">
        <w:rPr>
          <w:rFonts w:ascii="Tahoma" w:eastAsia="Times New Roman" w:hAnsi="Tahoma" w:cs="Tahoma"/>
          <w:color w:val="000000"/>
          <w:sz w:val="20"/>
          <w:szCs w:val="20"/>
        </w:rPr>
        <w:br/>
        <w:t> </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t>Strategia oferă baza pentru organizarea sistemului CDI şi stabileste principiile de baza în domeniul CDI: evaluarea programelor, proiectelor; evaluarea instituţiilor publice (universitati si institute de cercetare); corelarea performanţă - finanţare instituţională; promovarea în carieră pe bază de performanţe profesionale recunoscute international; atragerea de tineri doctoranzi, cercetători post-doctorat, precum si de cercetători cu experienţă, performanţi, intensificarea legăturilor stiinţifice şi de colaborare cu parteneri din ţară şi străinătate; dezvoltarea şi susţinerea participarii în programe si proiecte; dialogul permanent cu studenţii.</w:t>
      </w:r>
      <w:r w:rsidRPr="00B35E33">
        <w:rPr>
          <w:rFonts w:ascii="Tahoma" w:eastAsia="Times New Roman" w:hAnsi="Tahoma" w:cs="Tahoma"/>
          <w:color w:val="000000"/>
          <w:sz w:val="20"/>
          <w:szCs w:val="20"/>
        </w:rPr>
        <w:br/>
        <w:t> </w:t>
      </w:r>
    </w:p>
    <w:p w:rsidR="00B35E33" w:rsidRPr="00B35E33" w:rsidRDefault="00B35E33" w:rsidP="00B35E33">
      <w:pPr>
        <w:spacing w:after="24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t>Deoarece universităţile sunt chemate alături de celelalte entităţi de cercetare să se transforme în actori importanţi pe piaţa cunoaşterii, atragând şi dezvoltând resurse umane de vârf şi concentrând facilităţi de cercetare importante, implicarea în cercetare si legăturile tot mai strânse cu mediul economic au devenit nu doar surse suplimentare de venit, ci elemente intrinseci ale procesului de educaţie şi formare în U.T.M, implicată în lupta pentru excelenţă, în triunghiul cunoaşterii, educaţie-cercetare-inovare.</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t>Implementarea strategiei U.T.M. se va face prin instrumente specifice care îsi gasesc corespondenta în programele prevăzute în Cadrul Financiar 2007-2013, respectiv:</w:t>
      </w:r>
    </w:p>
    <w:p w:rsidR="00B35E33" w:rsidRPr="00B35E33" w:rsidRDefault="00B35E33" w:rsidP="00B35E33">
      <w:pPr>
        <w:numPr>
          <w:ilvl w:val="0"/>
          <w:numId w:val="1"/>
        </w:numPr>
        <w:spacing w:after="0" w:line="255" w:lineRule="atLeast"/>
        <w:ind w:left="0"/>
        <w:rPr>
          <w:rFonts w:ascii="Arial" w:eastAsia="Times New Roman" w:hAnsi="Arial" w:cs="Arial"/>
          <w:color w:val="000000"/>
          <w:sz w:val="20"/>
          <w:szCs w:val="20"/>
        </w:rPr>
      </w:pPr>
      <w:r w:rsidRPr="00B35E33">
        <w:rPr>
          <w:rFonts w:ascii="Tahoma" w:eastAsia="Times New Roman" w:hAnsi="Tahoma" w:cs="Tahoma"/>
          <w:b/>
          <w:bCs/>
          <w:i/>
          <w:iCs/>
          <w:color w:val="000000"/>
          <w:sz w:val="20"/>
        </w:rPr>
        <w:t>Programul  Cadru VII  pentru Cercetare</w:t>
      </w:r>
      <w:r w:rsidRPr="00B35E33">
        <w:rPr>
          <w:rFonts w:ascii="Tahoma" w:eastAsia="Times New Roman" w:hAnsi="Tahoma" w:cs="Tahoma"/>
          <w:color w:val="000000"/>
          <w:sz w:val="20"/>
          <w:szCs w:val="20"/>
        </w:rPr>
        <w:t>, principalul instrument prin care se sustin activitatile de cercetare-dezvoltare, colaborarea transnatională în domeniu, cercetarea de frontieră (coordonată de Consiliul European al Cercetării) precum şi reţelele de excelenţă;</w:t>
      </w:r>
    </w:p>
    <w:p w:rsidR="00B35E33" w:rsidRPr="00B35E33" w:rsidRDefault="00B35E33" w:rsidP="00B35E33">
      <w:pPr>
        <w:numPr>
          <w:ilvl w:val="0"/>
          <w:numId w:val="1"/>
        </w:numPr>
        <w:spacing w:after="0" w:line="255" w:lineRule="atLeast"/>
        <w:ind w:left="0"/>
        <w:rPr>
          <w:rFonts w:ascii="Arial" w:eastAsia="Times New Roman" w:hAnsi="Arial" w:cs="Arial"/>
          <w:color w:val="000000"/>
          <w:sz w:val="20"/>
          <w:szCs w:val="20"/>
        </w:rPr>
      </w:pPr>
      <w:r w:rsidRPr="00B35E33">
        <w:rPr>
          <w:rFonts w:ascii="Tahoma" w:eastAsia="Times New Roman" w:hAnsi="Tahoma" w:cs="Tahoma"/>
          <w:b/>
          <w:bCs/>
          <w:i/>
          <w:iCs/>
          <w:color w:val="000000"/>
          <w:sz w:val="20"/>
        </w:rPr>
        <w:t>Programul privind Competitivitate şi Inovare</w:t>
      </w:r>
      <w:r w:rsidRPr="00B35E33">
        <w:rPr>
          <w:rFonts w:ascii="Tahoma" w:eastAsia="Times New Roman" w:hAnsi="Tahoma" w:cs="Tahoma"/>
          <w:color w:val="000000"/>
          <w:sz w:val="20"/>
          <w:szCs w:val="20"/>
        </w:rPr>
        <w:t>, care susţine inovarea şi dezvoltarea IMM-urilor, oferind suport financiar (în special pentru start-up) şi susţinând o retea transnatională de transfer tehnologic precum si numeroase alte initiative, fară a implica însă activităţi de cercetare sau educaţie;</w:t>
      </w:r>
    </w:p>
    <w:p w:rsidR="00B35E33" w:rsidRPr="00B35E33" w:rsidRDefault="00B35E33" w:rsidP="00B35E33">
      <w:pPr>
        <w:numPr>
          <w:ilvl w:val="0"/>
          <w:numId w:val="1"/>
        </w:numPr>
        <w:spacing w:after="0" w:line="255" w:lineRule="atLeast"/>
        <w:ind w:left="0"/>
        <w:rPr>
          <w:rFonts w:ascii="Arial" w:eastAsia="Times New Roman" w:hAnsi="Arial" w:cs="Arial"/>
          <w:color w:val="000000"/>
          <w:sz w:val="20"/>
          <w:szCs w:val="20"/>
        </w:rPr>
      </w:pPr>
      <w:r w:rsidRPr="00B35E33">
        <w:rPr>
          <w:rFonts w:ascii="Tahoma" w:eastAsia="Times New Roman" w:hAnsi="Tahoma" w:cs="Tahoma"/>
          <w:b/>
          <w:bCs/>
          <w:i/>
          <w:iCs/>
          <w:color w:val="000000"/>
          <w:sz w:val="20"/>
        </w:rPr>
        <w:t>Programul Educaţie &amp; Pregătire 2010</w:t>
      </w:r>
      <w:r w:rsidRPr="00B35E33">
        <w:rPr>
          <w:rFonts w:ascii="Tahoma" w:eastAsia="Times New Roman" w:hAnsi="Tahoma" w:cs="Tahoma"/>
          <w:color w:val="000000"/>
          <w:sz w:val="20"/>
          <w:szCs w:val="20"/>
        </w:rPr>
        <w:t>, prin care statele membre sunt susţinute în adaptarea sistemului de educaţie şi formare în direcţia atingerii obiectivelor Lisabona, cuprinzând şi o componentă de mobilitate şi cooperare;</w:t>
      </w:r>
    </w:p>
    <w:p w:rsidR="00B35E33" w:rsidRPr="00B35E33" w:rsidRDefault="00B35E33" w:rsidP="00B35E33">
      <w:pPr>
        <w:numPr>
          <w:ilvl w:val="0"/>
          <w:numId w:val="1"/>
        </w:numPr>
        <w:spacing w:after="0" w:line="255" w:lineRule="atLeast"/>
        <w:ind w:left="0"/>
        <w:rPr>
          <w:rFonts w:ascii="Arial" w:eastAsia="Times New Roman" w:hAnsi="Arial" w:cs="Arial"/>
          <w:color w:val="000000"/>
          <w:sz w:val="20"/>
          <w:szCs w:val="20"/>
        </w:rPr>
      </w:pPr>
      <w:r w:rsidRPr="00B35E33">
        <w:rPr>
          <w:rFonts w:ascii="Tahoma" w:eastAsia="Times New Roman" w:hAnsi="Tahoma" w:cs="Tahoma"/>
          <w:b/>
          <w:bCs/>
          <w:i/>
          <w:iCs/>
          <w:color w:val="000000"/>
          <w:sz w:val="20"/>
        </w:rPr>
        <w:t>Programele de coeziune economică şi socială</w:t>
      </w:r>
      <w:r w:rsidRPr="00B35E33">
        <w:rPr>
          <w:rFonts w:ascii="Tahoma" w:eastAsia="Times New Roman" w:hAnsi="Tahoma" w:cs="Tahoma"/>
          <w:color w:val="000000"/>
          <w:sz w:val="20"/>
          <w:szCs w:val="20"/>
        </w:rPr>
        <w:t>, prin intermediul cărora statele, sau mai exact regiunile sunt finanţate cu sume importante în direcţia reducerii decalajelor structurale, domeniul CDI fiind recomandat ca unul prioritar.</w:t>
      </w:r>
    </w:p>
    <w:p w:rsidR="00B35E33" w:rsidRPr="00B35E33" w:rsidRDefault="00B35E33" w:rsidP="00B35E33">
      <w:pPr>
        <w:spacing w:after="240" w:line="255" w:lineRule="atLeast"/>
        <w:rPr>
          <w:rFonts w:ascii="Arial" w:eastAsia="Times New Roman" w:hAnsi="Arial" w:cs="Arial"/>
          <w:color w:val="000000"/>
          <w:sz w:val="20"/>
          <w:szCs w:val="20"/>
        </w:rPr>
      </w:pPr>
      <w:r w:rsidRPr="00B35E33">
        <w:rPr>
          <w:rFonts w:ascii="Tahoma" w:eastAsia="Times New Roman" w:hAnsi="Tahoma" w:cs="Tahoma"/>
          <w:b/>
          <w:bCs/>
          <w:color w:val="000000"/>
          <w:sz w:val="24"/>
          <w:szCs w:val="24"/>
        </w:rPr>
        <w:br/>
      </w:r>
      <w:r w:rsidRPr="00B35E33">
        <w:rPr>
          <w:rFonts w:ascii="Tahoma" w:eastAsia="Times New Roman" w:hAnsi="Tahoma" w:cs="Tahoma"/>
          <w:b/>
          <w:bCs/>
          <w:color w:val="0000FF"/>
          <w:sz w:val="24"/>
          <w:szCs w:val="24"/>
        </w:rPr>
        <w:t>2. PREMISELE INTERNE ALE U.T.M.</w:t>
      </w:r>
      <w:r w:rsidRPr="00B35E33">
        <w:rPr>
          <w:rFonts w:ascii="Tahoma" w:eastAsia="Times New Roman" w:hAnsi="Tahoma" w:cs="Tahoma"/>
          <w:b/>
          <w:bCs/>
          <w:color w:val="000000"/>
          <w:sz w:val="24"/>
          <w:szCs w:val="24"/>
        </w:rPr>
        <w:br/>
      </w:r>
      <w:r w:rsidRPr="00B35E33">
        <w:rPr>
          <w:rFonts w:ascii="Tahoma" w:eastAsia="Times New Roman" w:hAnsi="Tahoma" w:cs="Tahoma"/>
          <w:color w:val="000000"/>
          <w:sz w:val="20"/>
          <w:szCs w:val="20"/>
        </w:rPr>
        <w:lastRenderedPageBreak/>
        <w:br/>
        <w:t>Chiar dacă sistemul CDI din U.T.M. nu a reuşit până în prezent să genereze prea multe exemple de succes în transferul rezultatelor în practica socio-economică, acesta a reuşit să menţină sau să se dezvolte prin participarea la proiecte de cercetare lansate prin PNCDI şi Programul de Cercetare de excelenţă – CEEX lansate de Autoritatea Naţională pentru Cercetarea Ştiinţifică, valorificându-se astfel potenţialul de cercetare (cadre didactice) cu o certă valoare didactică şi ştiinţifică.</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Sistemul de învăţământ din U.T.M., prin domeniile de pregătire acreditate (drept, ştiinţe economice, informatică, psihologie, medicină şi medicină dentară), îşi propune să contribuie la dezvoltarea interesului şi aptitudinilor de cercetare şi inovare ale tinerilor pe întreg parcursul educaţional, (cu accent pe numărul şi calitatea masteranzilor şi doctoranzilor), să dezvolte abilităţile specifice de cercetare, în special multidisciplinară. Interconectarea sa cu sistemul CDI permite selectia, motivarea si sustinerea celor mai performanti tineri pentru o cariera în cercetare, atât în domeniul public, cât şi în cadrul firmelor.</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Mobilitatea internaţională reprezintă o dimensiune cheie a pregătirii studenţilor potenţiali viitori cercetători.</w:t>
      </w:r>
      <w:r w:rsidRPr="00B35E33">
        <w:rPr>
          <w:rFonts w:ascii="Tahoma" w:eastAsia="Times New Roman" w:hAnsi="Tahoma" w:cs="Tahoma"/>
          <w:color w:val="000000"/>
          <w:sz w:val="20"/>
        </w:rPr>
        <w:t> </w:t>
      </w:r>
      <w:r w:rsidRPr="00B35E33">
        <w:rPr>
          <w:rFonts w:ascii="Tahoma" w:eastAsia="Times New Roman" w:hAnsi="Tahoma" w:cs="Tahoma"/>
          <w:color w:val="000000"/>
          <w:sz w:val="20"/>
          <w:szCs w:val="20"/>
        </w:rPr>
        <w:t>Dezvoltarea unei infrastructuri de CDI adecvate în U.T.M., simultan cu creşterea gradului de utilizare, va conduce la îmbunătăţirea ratei de succes la participarea cu propuneri de proiecte de cercetare la competiţiile naţionale şi internaţionale si cresterea gradului de recuperare a fondurilor investite în cercetare şi a contribuţiei la programul cadru de cercetare al UE.</w:t>
      </w:r>
    </w:p>
    <w:p w:rsidR="00B35E33" w:rsidRPr="00B35E33" w:rsidRDefault="00B35E33" w:rsidP="00B35E33">
      <w:pPr>
        <w:spacing w:after="240" w:line="255" w:lineRule="atLeast"/>
        <w:rPr>
          <w:rFonts w:ascii="Arial" w:eastAsia="Times New Roman" w:hAnsi="Arial" w:cs="Arial"/>
          <w:color w:val="000000"/>
          <w:sz w:val="20"/>
          <w:szCs w:val="20"/>
        </w:rPr>
      </w:pPr>
      <w:r w:rsidRPr="00B35E33">
        <w:rPr>
          <w:rFonts w:ascii="Tahoma" w:eastAsia="Times New Roman" w:hAnsi="Tahoma" w:cs="Tahoma"/>
          <w:b/>
          <w:bCs/>
          <w:color w:val="0000FF"/>
          <w:sz w:val="24"/>
          <w:szCs w:val="24"/>
        </w:rPr>
        <w:t>3. OBIECTIVELE STRATEGICE ALE SISTEMULUI CDI DIN U.T.M.</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t>Sistemul CDI din România are rolul de a dezvolta ştiinţa şi tehnologia cu scopul de a creşte competitivitatea economiei româneşti, de a îmbunătăţi calitatea socială şi de a spori cunoaşterea cu potenţial de valorificare şi lărgire a orizontului de actiune.</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br/>
        <w:t>Având la bază obiectivele strategice ale sistemului CDI naţional, prin dezvoltarea activităţii de cercetare ştiinţifică, U.T.M. îşi propune în perioada 2008-2013 următoarele:</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br/>
      </w:r>
      <w:r w:rsidRPr="00B35E33">
        <w:rPr>
          <w:rFonts w:ascii="Tahoma" w:eastAsia="Times New Roman" w:hAnsi="Tahoma" w:cs="Tahoma"/>
          <w:b/>
          <w:bCs/>
          <w:color w:val="000000"/>
          <w:sz w:val="20"/>
        </w:rPr>
        <w:t>1.</w:t>
      </w:r>
      <w:r w:rsidRPr="00B35E33">
        <w:rPr>
          <w:rFonts w:ascii="Tahoma" w:eastAsia="Times New Roman" w:hAnsi="Tahoma" w:cs="Tahoma"/>
          <w:color w:val="000000"/>
          <w:sz w:val="20"/>
        </w:rPr>
        <w:t> </w:t>
      </w:r>
      <w:r w:rsidRPr="00B35E33">
        <w:rPr>
          <w:rFonts w:ascii="Tahoma" w:eastAsia="Times New Roman" w:hAnsi="Tahoma" w:cs="Tahoma"/>
          <w:b/>
          <w:bCs/>
          <w:i/>
          <w:iCs/>
          <w:color w:val="000000"/>
          <w:sz w:val="20"/>
        </w:rPr>
        <w:t>Crearea de cunoaştere</w:t>
      </w:r>
      <w:r w:rsidRPr="00B35E33">
        <w:rPr>
          <w:rFonts w:ascii="Tahoma" w:eastAsia="Times New Roman" w:hAnsi="Tahoma" w:cs="Tahoma"/>
          <w:color w:val="000000"/>
          <w:sz w:val="20"/>
          <w:szCs w:val="20"/>
        </w:rPr>
        <w:t>, respectiv obţinerea unor rezultate ştiinţifice şi tehnologice de vârf, competitive pe plan european, având ca scop creşterea contributiei la dezvoltarea stocului mondial de cunoaştere şi la transferul rezultatelor în economie şi societate. Atingerea acestui obiectiv presupune integrarea în reţelele internaţionale şi promovarea excelenţei în cercetare. Un accent deosebit se va pune pe formarea tinerilor cercetători în şcoli masterale şi doctorale sau postgraduale de excelenţă, care sa le asigure o pregătire corespunzatoare şi dezvoltarea capacităţii de a realiza cercetări avansate. Pentru aceasta va trebui ca şcolile să fie atractive pentru cercetători performanţi, cu experientă în supervizarea tinerilor, indiferent de naţionalitate.</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br/>
      </w:r>
      <w:r w:rsidRPr="00B35E33">
        <w:rPr>
          <w:rFonts w:ascii="Tahoma" w:eastAsia="Times New Roman" w:hAnsi="Tahoma" w:cs="Tahoma"/>
          <w:b/>
          <w:bCs/>
          <w:color w:val="000000"/>
          <w:sz w:val="20"/>
        </w:rPr>
        <w:t>2.</w:t>
      </w:r>
      <w:r w:rsidRPr="00B35E33">
        <w:rPr>
          <w:rFonts w:ascii="Tahoma" w:eastAsia="Times New Roman" w:hAnsi="Tahoma" w:cs="Tahoma"/>
          <w:color w:val="000000"/>
          <w:sz w:val="20"/>
        </w:rPr>
        <w:t> </w:t>
      </w:r>
      <w:r w:rsidRPr="00B35E33">
        <w:rPr>
          <w:rFonts w:ascii="Tahoma" w:eastAsia="Times New Roman" w:hAnsi="Tahoma" w:cs="Tahoma"/>
          <w:b/>
          <w:bCs/>
          <w:i/>
          <w:iCs/>
          <w:color w:val="000000"/>
          <w:sz w:val="20"/>
        </w:rPr>
        <w:t>Creşterea calităţii sociale</w:t>
      </w:r>
      <w:r w:rsidRPr="00B35E33">
        <w:rPr>
          <w:rFonts w:ascii="Tahoma" w:eastAsia="Times New Roman" w:hAnsi="Tahoma" w:cs="Tahoma"/>
          <w:color w:val="000000"/>
          <w:sz w:val="20"/>
        </w:rPr>
        <w:t> </w:t>
      </w:r>
      <w:r w:rsidRPr="00B35E33">
        <w:rPr>
          <w:rFonts w:ascii="Tahoma" w:eastAsia="Times New Roman" w:hAnsi="Tahoma" w:cs="Tahoma"/>
          <w:color w:val="000000"/>
          <w:sz w:val="20"/>
          <w:szCs w:val="20"/>
        </w:rPr>
        <w:t>prin dezvoltarea de soluţii, inclusiv tehnologice, care să genereze beneficii directe la nivelul societăţii. Din aceasta categorie fac parte solutiile la probleme locale, regionale si naţionale legate de coeziunea şi dinamica socială, creşterea eficienţei politicilor, precum şi probleme legate de sănătate, mediu, infrastructură.</w:t>
      </w:r>
    </w:p>
    <w:p w:rsidR="00B35E33" w:rsidRPr="00B35E33" w:rsidRDefault="00B35E33" w:rsidP="00B35E33">
      <w:pPr>
        <w:spacing w:after="0" w:line="255" w:lineRule="atLeast"/>
        <w:rPr>
          <w:rFonts w:ascii="Arial" w:eastAsia="Times New Roman" w:hAnsi="Arial" w:cs="Arial"/>
          <w:color w:val="000000"/>
          <w:sz w:val="20"/>
          <w:szCs w:val="20"/>
        </w:rPr>
      </w:pPr>
      <w:r w:rsidRPr="00B35E33">
        <w:rPr>
          <w:rFonts w:ascii="Tahoma" w:eastAsia="Times New Roman" w:hAnsi="Tahoma" w:cs="Tahoma"/>
          <w:color w:val="000000"/>
          <w:sz w:val="20"/>
          <w:szCs w:val="20"/>
        </w:rPr>
        <w:br/>
        <w:t>În realizarea acestor obiective strategice, U.T.M., prin Departamentul pentru cercetare ştiinţifică, centrele şi colectivele de cercetare din facultăţi, va avea în vedere urmatoarele obiective specifice de creştere a performanţei:</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Obţinerea unor rezultate ştiinţifice de excelenţă, reflectate în creşterea numărului de articole în publicaţii din fluxul principal de cunoaştere (reviste cotate ISI, B+)</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Creşterea contribuţiei cercetătorilor din universitate la realizarea unor brevete de invenţie;</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lastRenderedPageBreak/>
        <w:t>Dublarea numărului de cercetători până în anul 2013, concomitent cu descreşterea mediei de vârstă a cercetătorilor, sub 40 de ani;</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Asigurarea în fiecare an a unui număr ridicat de burse doctorale;</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Creşterea ponderii doctorilor şi doctoranzilor pâna la peste 50% din totalitatea cercetatorilor;</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Creşterea atractivităţii carierei în cercetare prin asigurarea accesului şi posibilitatea dezvoltării carierei pentru cei performanţi;</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Atragerea de cercetători cu experienţă, tineri cercetători postdoctoranzi şi doctoranzi indiferent de naţionalitate;</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Creşterea accesului la infrastructuri de cercetare performante prin stimularea crearii de laboratoare performante cu utilizatori multipli;</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Stimularea participării mediului privat la CDI, inclusiv pentru creşterea capacitatii de inovare, dezvoltare tehnologică şi asimilare în producţie a rezultatelor cercetării;</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Dezvoltarea parteneriatelor public-privat în stiinţă şi tehnologie prin crearea unor centre de competenţă, cât şi a unor interfeţe specializate între cererea şi oferta de CDI;</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Reducerea fragmentării sistemului de cercetare din universitate prin stimularea colaborării şi a participării la proiecte, care să asigure masa critică şi obţinerea de rezultate valoroase;</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Transformarea U.T.M. într-o entitate a cunoaşterii şi creşterea capacităţii acesteia de colaborare cu alte universităţi precum şi cu firmele şi marile companii;</w:t>
      </w:r>
    </w:p>
    <w:p w:rsidR="00B35E33" w:rsidRPr="00B35E33" w:rsidRDefault="00B35E33" w:rsidP="00B35E33">
      <w:pPr>
        <w:numPr>
          <w:ilvl w:val="0"/>
          <w:numId w:val="2"/>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color w:val="000000"/>
          <w:sz w:val="20"/>
          <w:szCs w:val="20"/>
        </w:rPr>
        <w:t>O mai bună reprezentare a U.T.M. prin experţii săi, în instituţii şi organisme reprezentative CDI la nivel european şi naţional.</w:t>
      </w:r>
    </w:p>
    <w:p w:rsidR="00B35E33" w:rsidRPr="00B35E33" w:rsidRDefault="00B35E33" w:rsidP="00B35E33">
      <w:pPr>
        <w:spacing w:after="0" w:line="255" w:lineRule="atLeast"/>
        <w:rPr>
          <w:rFonts w:ascii="Tahoma" w:eastAsia="Times New Roman" w:hAnsi="Tahoma" w:cs="Tahoma"/>
          <w:color w:val="000000"/>
          <w:sz w:val="20"/>
          <w:szCs w:val="20"/>
        </w:rPr>
      </w:pPr>
      <w:r w:rsidRPr="00B35E33">
        <w:rPr>
          <w:rFonts w:ascii="Tahoma" w:eastAsia="Times New Roman" w:hAnsi="Tahoma" w:cs="Tahoma"/>
          <w:b/>
          <w:bCs/>
          <w:color w:val="000000"/>
          <w:sz w:val="24"/>
          <w:szCs w:val="24"/>
        </w:rPr>
        <w:br/>
      </w:r>
      <w:r w:rsidRPr="00B35E33">
        <w:rPr>
          <w:rFonts w:ascii="Tahoma" w:eastAsia="Times New Roman" w:hAnsi="Tahoma" w:cs="Tahoma"/>
          <w:b/>
          <w:bCs/>
          <w:color w:val="0000FF"/>
          <w:sz w:val="24"/>
          <w:szCs w:val="24"/>
        </w:rPr>
        <w:t>4. CERCETAREA EXPLORATORIE ŞI DE FRONTIERĂ</w:t>
      </w:r>
      <w:r w:rsidRPr="00B35E33">
        <w:rPr>
          <w:rFonts w:ascii="Tahoma" w:eastAsia="Times New Roman" w:hAnsi="Tahoma" w:cs="Tahoma"/>
          <w:b/>
          <w:bCs/>
          <w:color w:val="000000"/>
          <w:sz w:val="20"/>
          <w:szCs w:val="20"/>
        </w:rPr>
        <w:br/>
      </w:r>
      <w:r w:rsidRPr="00B35E33">
        <w:rPr>
          <w:rFonts w:ascii="Tahoma" w:eastAsia="Times New Roman" w:hAnsi="Tahoma" w:cs="Tahoma"/>
          <w:color w:val="000000"/>
          <w:sz w:val="20"/>
          <w:szCs w:val="20"/>
        </w:rPr>
        <w:br/>
        <w:t>Având în vedere importanţa cercetării fundamentale pentru dezvoltarea cunoaşterii şi formarea resursei umane înalt calificate, U.T.M. va pune accentul pe excelenţă, pe interdisciplinaritate şi vizibilitate internaţională. Vor fi sustinute propunerile de cercetări complexe în domenii de cercetare de excelenţă ca: medicina, informatica şi stiintele socio-umane (drept, psihologie, ştiinţe economice).</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Pentru acest tip de cercetări, relevanţa este pe termen lung. Nu sunt stabilite priorităţi pentru finanţarea temelor de cercetare, propunerile venind direct de la cercetători.</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U.T.M. va urmări dezvoltarea resursei umane capabile să atingă nivelul de integrare în fluxul internaţional de dezbatere ştiinţifică. Creşterea atractivităţii carierei în cercetare, în special pentru tineri, reprezintă un element critic al actualului sistem de cercetare din universitate, în care numărul de cadre didactice care lucrează şi în cercetare, raportat la numărul total, este relative redus. Pentru perioada 2008-2013, se va urmări creşterea atractivităţii carierei în cercetare prin burse şi acces la granturi de cercetare, în perioada formării iniţiale a cercetătorilor prin doctorat (stimulându-se cotutela internaţională şi mobilitatea), precum şi prin programe post-doctorale, cu precădere în domenii interdisciplinare.</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Consolidarea şcolilor doctorale şi crearea de şcoli post-graduale vor avea impact asupra calităţii programelor doctorale, cât şi a cercetărilor post-doctorat, contribuind la pregatirea unor cercetători performanţi. </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De asemenea, pentru personalităţi cu rezultate ştinţifice deosebite pe plan internaţional se va asigura finanţarea adecvată, necesară creării unor centre de excelenţă în universitate. </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U.T.M. va susţine dezvoltarea infrastructurii de cercetare prin creşterea gradului de utilizare, extinderea infrastructurii existente şi prin crearea de noi facilităţi care să contribuie la dezvoltarea resursei umane pentru cercetare.</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lastRenderedPageBreak/>
        <w:t>În perioada 2008-2013, vor fi identificate oportunităţile de colaborare internaţională la proiecte de cercetare în cadrul unor apeluri comune de proiecte împreună cu alte ţări pe teme de inters sau pur şi simplu în cadrul unor proiectele de colaborare iniţiate la nivelul comunităţii ştiinţifice.</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Departamentul pentru cercetare ştiinţifică va identifica domeniul/domeniile în care să fie editată/editate reviste ştiinţifice, iar U.T.M. va susţine încadrarea lor la performanţe de prestigiu, pentru a îndeplini condiţiile de intrare în bazele indexate internaţional si în perspectiva pentru cresterea factorului lor de impact.</w:t>
      </w:r>
      <w:r w:rsidRPr="00B35E33">
        <w:rPr>
          <w:rFonts w:ascii="Tahoma" w:eastAsia="Times New Roman" w:hAnsi="Tahoma" w:cs="Tahoma"/>
          <w:color w:val="000000"/>
          <w:sz w:val="20"/>
          <w:szCs w:val="20"/>
        </w:rPr>
        <w:br/>
      </w:r>
      <w:r w:rsidRPr="00B35E33">
        <w:rPr>
          <w:rFonts w:ascii="Tahoma" w:eastAsia="Times New Roman" w:hAnsi="Tahoma" w:cs="Tahoma"/>
          <w:color w:val="000000"/>
          <w:sz w:val="20"/>
          <w:szCs w:val="20"/>
        </w:rPr>
        <w:br/>
        <w:t>Se va urmări o mai bună integrare a comunităţii ştiinţifice din U.T.M. în circuitul ştiinţific internaţional, prin accesul cercetătorilor la resursele de informare ştiintifică, participarea la conferinţe internaţionale, organizate în ţară sau străinătate, asigurarea unui acces larg la resurse de informare.</w:t>
      </w:r>
      <w:r w:rsidRPr="00B35E33">
        <w:rPr>
          <w:rFonts w:ascii="Tahoma" w:eastAsia="Times New Roman" w:hAnsi="Tahoma" w:cs="Tahoma"/>
          <w:color w:val="000000"/>
          <w:sz w:val="20"/>
          <w:szCs w:val="20"/>
        </w:rPr>
        <w:br/>
      </w:r>
      <w:r w:rsidRPr="00B35E33">
        <w:rPr>
          <w:rFonts w:ascii="Tahoma" w:eastAsia="Times New Roman" w:hAnsi="Tahoma" w:cs="Tahoma"/>
          <w:b/>
          <w:bCs/>
          <w:color w:val="000000"/>
          <w:sz w:val="20"/>
          <w:szCs w:val="20"/>
        </w:rPr>
        <w:br/>
      </w:r>
      <w:r w:rsidRPr="00B35E33">
        <w:rPr>
          <w:rFonts w:ascii="Tahoma" w:eastAsia="Times New Roman" w:hAnsi="Tahoma" w:cs="Tahoma"/>
          <w:b/>
          <w:bCs/>
          <w:color w:val="0000FF"/>
          <w:sz w:val="24"/>
          <w:szCs w:val="24"/>
        </w:rPr>
        <w:t>5. PRIORITĂŢILE U.T.M. ÎN ACTIVITATEA DE CERCETARE-DEZVOLTARE</w:t>
      </w:r>
    </w:p>
    <w:p w:rsidR="00B35E33" w:rsidRPr="00B35E33" w:rsidRDefault="00B35E33" w:rsidP="00B35E33">
      <w:pPr>
        <w:spacing w:after="0" w:line="255" w:lineRule="atLeast"/>
        <w:rPr>
          <w:rFonts w:ascii="Times New Roman" w:eastAsia="Times New Roman" w:hAnsi="Times New Roman" w:cs="Times New Roman"/>
          <w:sz w:val="24"/>
          <w:szCs w:val="24"/>
        </w:rPr>
      </w:pPr>
      <w:r w:rsidRPr="00B35E33">
        <w:rPr>
          <w:rFonts w:ascii="Tahoma" w:eastAsia="Times New Roman" w:hAnsi="Tahoma" w:cs="Tahoma"/>
          <w:color w:val="000000"/>
          <w:sz w:val="20"/>
          <w:szCs w:val="20"/>
        </w:rPr>
        <w:br/>
      </w:r>
      <w:r w:rsidRPr="00B35E33">
        <w:rPr>
          <w:rFonts w:ascii="Tahoma" w:eastAsia="Times New Roman" w:hAnsi="Tahoma" w:cs="Tahoma"/>
          <w:color w:val="000000"/>
          <w:sz w:val="20"/>
        </w:rPr>
        <w:t>Consiliul ştiinţific împreună cu Departamentul pentru cercetare ştiinţifică din  U.T.M., alături de cadrele didactice şi studenţii cu preocupări în cercetarea ştiinţifică, vor avea ca prioritate identificarea şi propunerea unor proiecte de cercetare</w:t>
      </w:r>
      <w:r w:rsidRPr="00B35E33">
        <w:rPr>
          <w:rFonts w:ascii="Tahoma" w:eastAsia="Times New Roman" w:hAnsi="Tahoma" w:cs="Tahoma"/>
          <w:b/>
          <w:bCs/>
          <w:color w:val="000000"/>
          <w:sz w:val="20"/>
        </w:rPr>
        <w:t>în parteneriat cu universităţi / instituţii de cercetare-dezvoltare şi întreprinderi din ţară sau din Europa, în perioada 2008-20012.</w:t>
      </w:r>
      <w:r w:rsidRPr="00B35E33">
        <w:rPr>
          <w:rFonts w:ascii="Tahoma" w:eastAsia="Times New Roman" w:hAnsi="Tahoma" w:cs="Tahoma"/>
          <w:b/>
          <w:bCs/>
          <w:color w:val="000000"/>
          <w:sz w:val="20"/>
          <w:szCs w:val="20"/>
        </w:rPr>
        <w:br/>
      </w:r>
      <w:r w:rsidRPr="00B35E33">
        <w:rPr>
          <w:rFonts w:ascii="Tahoma" w:eastAsia="Times New Roman" w:hAnsi="Tahoma" w:cs="Tahoma"/>
          <w:color w:val="000000"/>
          <w:sz w:val="20"/>
          <w:szCs w:val="20"/>
        </w:rPr>
        <w:br/>
      </w:r>
      <w:r w:rsidRPr="00B35E33">
        <w:rPr>
          <w:rFonts w:ascii="Tahoma" w:eastAsia="Times New Roman" w:hAnsi="Tahoma" w:cs="Tahoma"/>
          <w:color w:val="000000"/>
          <w:sz w:val="20"/>
        </w:rPr>
        <w:t>Domeniile din PN II, PC7 şi Fondurile structurale, pentru care se vor face propuneri conform obiectivelor acestora, la competiţiile organizate de conducătorii de programe sunt: </w:t>
      </w:r>
    </w:p>
    <w:p w:rsidR="00B35E33" w:rsidRPr="00B35E33" w:rsidRDefault="00B35E33" w:rsidP="00B35E33">
      <w:pPr>
        <w:numPr>
          <w:ilvl w:val="0"/>
          <w:numId w:val="3"/>
        </w:numPr>
        <w:spacing w:after="0" w:line="255" w:lineRule="atLeast"/>
        <w:ind w:left="0"/>
        <w:rPr>
          <w:rFonts w:ascii="Times New Roman" w:eastAsia="Times New Roman" w:hAnsi="Times New Roman" w:cs="Times New Roman"/>
          <w:sz w:val="24"/>
          <w:szCs w:val="24"/>
        </w:rPr>
      </w:pPr>
      <w:r w:rsidRPr="00B35E33">
        <w:rPr>
          <w:rFonts w:ascii="Tahoma" w:eastAsia="Times New Roman" w:hAnsi="Tahoma" w:cs="Tahoma"/>
          <w:b/>
          <w:bCs/>
          <w:color w:val="000000"/>
          <w:sz w:val="20"/>
        </w:rPr>
        <w:t>Tehnologiile societăţii informaţionale;</w:t>
      </w:r>
    </w:p>
    <w:p w:rsidR="00B35E33" w:rsidRPr="00B35E33" w:rsidRDefault="00B35E33" w:rsidP="00B35E33">
      <w:pPr>
        <w:numPr>
          <w:ilvl w:val="0"/>
          <w:numId w:val="3"/>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b/>
          <w:bCs/>
          <w:color w:val="000000"/>
          <w:sz w:val="20"/>
        </w:rPr>
        <w:t>Sănătate;</w:t>
      </w:r>
    </w:p>
    <w:p w:rsidR="00B35E33" w:rsidRPr="00B35E33" w:rsidRDefault="00B35E33" w:rsidP="00B35E33">
      <w:pPr>
        <w:numPr>
          <w:ilvl w:val="0"/>
          <w:numId w:val="3"/>
        </w:numPr>
        <w:spacing w:after="0" w:line="255" w:lineRule="atLeast"/>
        <w:ind w:left="0"/>
        <w:rPr>
          <w:rFonts w:ascii="Tahoma" w:eastAsia="Times New Roman" w:hAnsi="Tahoma" w:cs="Tahoma"/>
          <w:color w:val="000000"/>
          <w:sz w:val="20"/>
          <w:szCs w:val="20"/>
        </w:rPr>
      </w:pPr>
      <w:r w:rsidRPr="00B35E33">
        <w:rPr>
          <w:rFonts w:ascii="Tahoma" w:eastAsia="Times New Roman" w:hAnsi="Tahoma" w:cs="Tahoma"/>
          <w:b/>
          <w:bCs/>
          <w:color w:val="000000"/>
          <w:sz w:val="20"/>
        </w:rPr>
        <w:t>Cercetari socio-economice şi umaniste.</w:t>
      </w:r>
    </w:p>
    <w:p w:rsidR="004D77C1" w:rsidRDefault="00B35E33" w:rsidP="00B35E33">
      <w:r w:rsidRPr="00B35E33">
        <w:rPr>
          <w:rFonts w:ascii="Tahoma" w:eastAsia="Times New Roman" w:hAnsi="Tahoma" w:cs="Tahoma"/>
          <w:b/>
          <w:bCs/>
          <w:color w:val="000000"/>
          <w:sz w:val="20"/>
          <w:szCs w:val="20"/>
        </w:rPr>
        <w:br/>
      </w:r>
      <w:r w:rsidRPr="00B35E33">
        <w:rPr>
          <w:rFonts w:ascii="Tahoma" w:eastAsia="Times New Roman" w:hAnsi="Tahoma" w:cs="Tahoma"/>
          <w:b/>
          <w:bCs/>
          <w:color w:val="0000FF"/>
          <w:sz w:val="24"/>
          <w:szCs w:val="24"/>
        </w:rPr>
        <w:t>6. IMPLEMENTAREA STRATEGIEI ÎN DOMENIUL ACTIVITĂŢII DE CDI</w:t>
      </w:r>
      <w:r w:rsidRPr="00B35E33">
        <w:rPr>
          <w:rFonts w:ascii="Tahoma" w:eastAsia="Times New Roman" w:hAnsi="Tahoma" w:cs="Tahoma"/>
          <w:b/>
          <w:bCs/>
          <w:color w:val="0000FF"/>
          <w:sz w:val="24"/>
          <w:szCs w:val="24"/>
        </w:rPr>
        <w:br/>
      </w:r>
      <w:r w:rsidRPr="00B35E33">
        <w:rPr>
          <w:rFonts w:ascii="Tahoma" w:eastAsia="Times New Roman" w:hAnsi="Tahoma" w:cs="Tahoma"/>
          <w:b/>
          <w:bCs/>
          <w:color w:val="0000FF"/>
          <w:sz w:val="24"/>
          <w:szCs w:val="24"/>
        </w:rPr>
        <w:br/>
      </w:r>
      <w:r w:rsidRPr="00B35E33">
        <w:rPr>
          <w:rFonts w:ascii="Tahoma" w:eastAsia="Times New Roman" w:hAnsi="Tahoma" w:cs="Tahoma"/>
          <w:color w:val="000000"/>
          <w:sz w:val="20"/>
        </w:rPr>
        <w:t>Strategia şi Rapoartele anuale ale activităţii de cercetare, Programul şi calendarul anual al manifestărilor ştiinţifice vor fi aprobate de Senatul U.T.M.</w:t>
      </w:r>
      <w:r w:rsidRPr="00B35E33">
        <w:rPr>
          <w:rFonts w:ascii="Tahoma" w:eastAsia="Times New Roman" w:hAnsi="Tahoma" w:cs="Tahoma"/>
          <w:color w:val="000000"/>
          <w:sz w:val="20"/>
          <w:szCs w:val="20"/>
        </w:rPr>
        <w:br/>
      </w:r>
      <w:r w:rsidRPr="00B35E33">
        <w:rPr>
          <w:rFonts w:ascii="Tahoma" w:eastAsia="Times New Roman" w:hAnsi="Tahoma" w:cs="Tahoma"/>
          <w:b/>
          <w:bCs/>
          <w:color w:val="000000"/>
          <w:sz w:val="20"/>
          <w:szCs w:val="20"/>
        </w:rPr>
        <w:br/>
      </w:r>
      <w:r w:rsidRPr="00B35E33">
        <w:rPr>
          <w:rFonts w:ascii="Tahoma" w:eastAsia="Times New Roman" w:hAnsi="Tahoma" w:cs="Tahoma"/>
          <w:b/>
          <w:bCs/>
          <w:color w:val="000000"/>
          <w:sz w:val="20"/>
        </w:rPr>
        <w:t>Pentru realizarea atribuţiilor sale şi pentru a dezvolta nivelul de coordonare ştiinţifică, implementare şi monitorizare, Consiliul ştiinţific şi Departamentul pentru cercetare ştiinţifică din U.T.M. vor urmări ca prevederile din Regulamentul de funcţionare al universităţii precum şi prevederile Regulamentului de organizare şi desfăşurare a activităţii de cercetare ştiinţifică, să fie puse în practică în vederea atingerii obiectivelor prezentei Strategii.</w:t>
      </w:r>
    </w:p>
    <w:sectPr w:rsidR="004D77C1" w:rsidSect="004D77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577EC"/>
    <w:multiLevelType w:val="multilevel"/>
    <w:tmpl w:val="6642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54CE3"/>
    <w:multiLevelType w:val="multilevel"/>
    <w:tmpl w:val="CF4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0730BC"/>
    <w:multiLevelType w:val="multilevel"/>
    <w:tmpl w:val="9A8A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5E33"/>
    <w:rsid w:val="00124EE7"/>
    <w:rsid w:val="004D77C1"/>
    <w:rsid w:val="00B35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35E33"/>
  </w:style>
  <w:style w:type="character" w:styleId="Strong">
    <w:name w:val="Strong"/>
    <w:basedOn w:val="DefaultParagraphFont"/>
    <w:uiPriority w:val="22"/>
    <w:qFormat/>
    <w:rsid w:val="00B35E33"/>
    <w:rPr>
      <w:b/>
      <w:bCs/>
    </w:rPr>
  </w:style>
  <w:style w:type="character" w:styleId="Emphasis">
    <w:name w:val="Emphasis"/>
    <w:basedOn w:val="DefaultParagraphFont"/>
    <w:uiPriority w:val="20"/>
    <w:qFormat/>
    <w:rsid w:val="00B35E33"/>
    <w:rPr>
      <w:i/>
      <w:iCs/>
    </w:rPr>
  </w:style>
  <w:style w:type="paragraph" w:styleId="NormalWeb">
    <w:name w:val="Normal (Web)"/>
    <w:basedOn w:val="Normal"/>
    <w:uiPriority w:val="99"/>
    <w:semiHidden/>
    <w:unhideWhenUsed/>
    <w:rsid w:val="00B35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5E33"/>
  </w:style>
</w:styles>
</file>

<file path=word/webSettings.xml><?xml version="1.0" encoding="utf-8"?>
<w:webSettings xmlns:r="http://schemas.openxmlformats.org/officeDocument/2006/relationships" xmlns:w="http://schemas.openxmlformats.org/wordprocessingml/2006/main">
  <w:divs>
    <w:div w:id="810557234">
      <w:bodyDiv w:val="1"/>
      <w:marLeft w:val="0"/>
      <w:marRight w:val="0"/>
      <w:marTop w:val="0"/>
      <w:marBottom w:val="0"/>
      <w:divBdr>
        <w:top w:val="none" w:sz="0" w:space="0" w:color="auto"/>
        <w:left w:val="none" w:sz="0" w:space="0" w:color="auto"/>
        <w:bottom w:val="none" w:sz="0" w:space="0" w:color="auto"/>
        <w:right w:val="none" w:sz="0" w:space="0" w:color="auto"/>
      </w:divBdr>
      <w:divsChild>
        <w:div w:id="264580281">
          <w:marLeft w:val="0"/>
          <w:marRight w:val="0"/>
          <w:marTop w:val="0"/>
          <w:marBottom w:val="0"/>
          <w:divBdr>
            <w:top w:val="none" w:sz="0" w:space="0" w:color="auto"/>
            <w:left w:val="none" w:sz="0" w:space="0" w:color="auto"/>
            <w:bottom w:val="none" w:sz="0" w:space="0" w:color="auto"/>
            <w:right w:val="none" w:sz="0" w:space="0" w:color="auto"/>
          </w:divBdr>
        </w:div>
        <w:div w:id="1319922388">
          <w:marLeft w:val="0"/>
          <w:marRight w:val="0"/>
          <w:marTop w:val="0"/>
          <w:marBottom w:val="0"/>
          <w:divBdr>
            <w:top w:val="none" w:sz="0" w:space="0" w:color="auto"/>
            <w:left w:val="none" w:sz="0" w:space="0" w:color="auto"/>
            <w:bottom w:val="none" w:sz="0" w:space="0" w:color="auto"/>
            <w:right w:val="none" w:sz="0" w:space="0" w:color="auto"/>
          </w:divBdr>
        </w:div>
        <w:div w:id="18553047">
          <w:marLeft w:val="0"/>
          <w:marRight w:val="0"/>
          <w:marTop w:val="0"/>
          <w:marBottom w:val="0"/>
          <w:divBdr>
            <w:top w:val="none" w:sz="0" w:space="0" w:color="auto"/>
            <w:left w:val="none" w:sz="0" w:space="0" w:color="auto"/>
            <w:bottom w:val="none" w:sz="0" w:space="0" w:color="auto"/>
            <w:right w:val="none" w:sz="0" w:space="0" w:color="auto"/>
          </w:divBdr>
        </w:div>
        <w:div w:id="1955209067">
          <w:marLeft w:val="0"/>
          <w:marRight w:val="0"/>
          <w:marTop w:val="0"/>
          <w:marBottom w:val="0"/>
          <w:divBdr>
            <w:top w:val="none" w:sz="0" w:space="0" w:color="auto"/>
            <w:left w:val="none" w:sz="0" w:space="0" w:color="auto"/>
            <w:bottom w:val="none" w:sz="0" w:space="0" w:color="auto"/>
            <w:right w:val="none" w:sz="0" w:space="0" w:color="auto"/>
          </w:divBdr>
        </w:div>
        <w:div w:id="1427846408">
          <w:marLeft w:val="0"/>
          <w:marRight w:val="0"/>
          <w:marTop w:val="0"/>
          <w:marBottom w:val="0"/>
          <w:divBdr>
            <w:top w:val="none" w:sz="0" w:space="0" w:color="auto"/>
            <w:left w:val="none" w:sz="0" w:space="0" w:color="auto"/>
            <w:bottom w:val="none" w:sz="0" w:space="0" w:color="auto"/>
            <w:right w:val="none" w:sz="0" w:space="0" w:color="auto"/>
          </w:divBdr>
        </w:div>
        <w:div w:id="2137867423">
          <w:marLeft w:val="0"/>
          <w:marRight w:val="0"/>
          <w:marTop w:val="0"/>
          <w:marBottom w:val="0"/>
          <w:divBdr>
            <w:top w:val="none" w:sz="0" w:space="0" w:color="auto"/>
            <w:left w:val="none" w:sz="0" w:space="0" w:color="auto"/>
            <w:bottom w:val="none" w:sz="0" w:space="0" w:color="auto"/>
            <w:right w:val="none" w:sz="0" w:space="0" w:color="auto"/>
          </w:divBdr>
        </w:div>
        <w:div w:id="884489529">
          <w:marLeft w:val="0"/>
          <w:marRight w:val="0"/>
          <w:marTop w:val="0"/>
          <w:marBottom w:val="0"/>
          <w:divBdr>
            <w:top w:val="none" w:sz="0" w:space="0" w:color="auto"/>
            <w:left w:val="none" w:sz="0" w:space="0" w:color="auto"/>
            <w:bottom w:val="none" w:sz="0" w:space="0" w:color="auto"/>
            <w:right w:val="none" w:sz="0" w:space="0" w:color="auto"/>
          </w:divBdr>
        </w:div>
        <w:div w:id="1128860023">
          <w:marLeft w:val="0"/>
          <w:marRight w:val="0"/>
          <w:marTop w:val="0"/>
          <w:marBottom w:val="0"/>
          <w:divBdr>
            <w:top w:val="none" w:sz="0" w:space="0" w:color="auto"/>
            <w:left w:val="none" w:sz="0" w:space="0" w:color="auto"/>
            <w:bottom w:val="none" w:sz="0" w:space="0" w:color="auto"/>
            <w:right w:val="none" w:sz="0" w:space="0" w:color="auto"/>
          </w:divBdr>
        </w:div>
        <w:div w:id="1141968690">
          <w:marLeft w:val="0"/>
          <w:marRight w:val="0"/>
          <w:marTop w:val="0"/>
          <w:marBottom w:val="0"/>
          <w:divBdr>
            <w:top w:val="none" w:sz="0" w:space="0" w:color="auto"/>
            <w:left w:val="none" w:sz="0" w:space="0" w:color="auto"/>
            <w:bottom w:val="none" w:sz="0" w:space="0" w:color="auto"/>
            <w:right w:val="none" w:sz="0" w:space="0" w:color="auto"/>
          </w:divBdr>
        </w:div>
        <w:div w:id="181286192">
          <w:marLeft w:val="0"/>
          <w:marRight w:val="0"/>
          <w:marTop w:val="0"/>
          <w:marBottom w:val="0"/>
          <w:divBdr>
            <w:top w:val="none" w:sz="0" w:space="0" w:color="auto"/>
            <w:left w:val="none" w:sz="0" w:space="0" w:color="auto"/>
            <w:bottom w:val="none" w:sz="0" w:space="0" w:color="auto"/>
            <w:right w:val="none" w:sz="0" w:space="0" w:color="auto"/>
          </w:divBdr>
        </w:div>
        <w:div w:id="425007698">
          <w:marLeft w:val="0"/>
          <w:marRight w:val="0"/>
          <w:marTop w:val="0"/>
          <w:marBottom w:val="0"/>
          <w:divBdr>
            <w:top w:val="none" w:sz="0" w:space="0" w:color="auto"/>
            <w:left w:val="none" w:sz="0" w:space="0" w:color="auto"/>
            <w:bottom w:val="none" w:sz="0" w:space="0" w:color="auto"/>
            <w:right w:val="none" w:sz="0" w:space="0" w:color="auto"/>
          </w:divBdr>
        </w:div>
        <w:div w:id="1362241983">
          <w:marLeft w:val="0"/>
          <w:marRight w:val="0"/>
          <w:marTop w:val="0"/>
          <w:marBottom w:val="0"/>
          <w:divBdr>
            <w:top w:val="none" w:sz="0" w:space="0" w:color="auto"/>
            <w:left w:val="none" w:sz="0" w:space="0" w:color="auto"/>
            <w:bottom w:val="none" w:sz="0" w:space="0" w:color="auto"/>
            <w:right w:val="none" w:sz="0" w:space="0" w:color="auto"/>
          </w:divBdr>
        </w:div>
        <w:div w:id="94643661">
          <w:marLeft w:val="0"/>
          <w:marRight w:val="0"/>
          <w:marTop w:val="0"/>
          <w:marBottom w:val="0"/>
          <w:divBdr>
            <w:top w:val="none" w:sz="0" w:space="0" w:color="auto"/>
            <w:left w:val="none" w:sz="0" w:space="0" w:color="auto"/>
            <w:bottom w:val="none" w:sz="0" w:space="0" w:color="auto"/>
            <w:right w:val="none" w:sz="0" w:space="0" w:color="auto"/>
          </w:divBdr>
        </w:div>
        <w:div w:id="74326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1945</Words>
  <Characters>11088</Characters>
  <Application>Microsoft Office Word</Application>
  <DocSecurity>0</DocSecurity>
  <Lines>92</Lines>
  <Paragraphs>26</Paragraphs>
  <ScaleCrop>false</ScaleCrop>
  <Company>CALITATE</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1</cp:revision>
  <dcterms:created xsi:type="dcterms:W3CDTF">2011-03-21T13:46:00Z</dcterms:created>
  <dcterms:modified xsi:type="dcterms:W3CDTF">2011-03-21T13:47:00Z</dcterms:modified>
</cp:coreProperties>
</file>