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E33" w:rsidRPr="00B35E33" w:rsidRDefault="00B35E33" w:rsidP="00B35E33">
      <w:pPr>
        <w:spacing w:after="0" w:line="255" w:lineRule="atLeast"/>
        <w:jc w:val="center"/>
        <w:rPr>
          <w:rFonts w:ascii="Arial" w:eastAsia="Times New Roman" w:hAnsi="Arial" w:cs="Arial"/>
          <w:color w:val="000000"/>
          <w:sz w:val="20"/>
          <w:szCs w:val="20"/>
        </w:rPr>
      </w:pPr>
      <w:r w:rsidRPr="00B35E33">
        <w:rPr>
          <w:rFonts w:ascii="Tahoma" w:eastAsia="Times New Roman" w:hAnsi="Tahoma" w:cs="Tahoma"/>
          <w:b/>
          <w:bCs/>
          <w:i/>
          <w:iCs/>
          <w:color w:val="333399"/>
          <w:sz w:val="27"/>
        </w:rPr>
        <w:t>STRATEGIA UNIVERSITĂŢII “TITU MAIORESCU</w:t>
      </w:r>
      <w:r w:rsidRPr="00B35E33">
        <w:rPr>
          <w:rFonts w:ascii="Tahoma" w:eastAsia="Times New Roman" w:hAnsi="Tahoma" w:cs="Tahoma"/>
          <w:b/>
          <w:bCs/>
          <w:color w:val="333399"/>
          <w:sz w:val="27"/>
        </w:rPr>
        <w:t>"</w:t>
      </w:r>
    </w:p>
    <w:p w:rsidR="00B35E33" w:rsidRPr="00B35E33" w:rsidRDefault="00B35E33" w:rsidP="00B35E33">
      <w:pPr>
        <w:spacing w:after="0" w:line="255" w:lineRule="atLeast"/>
        <w:jc w:val="center"/>
        <w:rPr>
          <w:rFonts w:ascii="Arial" w:eastAsia="Times New Roman" w:hAnsi="Arial" w:cs="Arial"/>
          <w:color w:val="000000"/>
          <w:sz w:val="20"/>
          <w:szCs w:val="20"/>
        </w:rPr>
      </w:pPr>
      <w:r w:rsidRPr="00B35E33">
        <w:rPr>
          <w:rFonts w:ascii="Tahoma" w:eastAsia="Times New Roman" w:hAnsi="Tahoma" w:cs="Tahoma"/>
          <w:b/>
          <w:bCs/>
          <w:i/>
          <w:iCs/>
          <w:color w:val="333399"/>
          <w:sz w:val="27"/>
        </w:rPr>
        <w:t>în</w:t>
      </w:r>
    </w:p>
    <w:p w:rsidR="00B35E33" w:rsidRPr="00B35E33" w:rsidRDefault="00B35E33" w:rsidP="00B35E33">
      <w:pPr>
        <w:spacing w:after="0" w:line="255" w:lineRule="atLeast"/>
        <w:jc w:val="center"/>
        <w:rPr>
          <w:rFonts w:ascii="Arial" w:eastAsia="Times New Roman" w:hAnsi="Arial" w:cs="Arial"/>
          <w:color w:val="000000"/>
          <w:sz w:val="20"/>
          <w:szCs w:val="20"/>
        </w:rPr>
      </w:pPr>
      <w:r w:rsidRPr="00B35E33">
        <w:rPr>
          <w:rFonts w:ascii="Tahoma" w:eastAsia="Times New Roman" w:hAnsi="Tahoma" w:cs="Tahoma"/>
          <w:b/>
          <w:bCs/>
          <w:i/>
          <w:iCs/>
          <w:color w:val="333399"/>
          <w:sz w:val="27"/>
        </w:rPr>
        <w:t>ACTIVITATEA DE CERCETARE, DEZVOLTARE ŞI INOVARE </w:t>
      </w:r>
      <w:r w:rsidRPr="00B35E33">
        <w:rPr>
          <w:rFonts w:ascii="Tahoma" w:eastAsia="Times New Roman" w:hAnsi="Tahoma" w:cs="Tahoma"/>
          <w:b/>
          <w:bCs/>
          <w:i/>
          <w:iCs/>
          <w:color w:val="333399"/>
          <w:sz w:val="27"/>
          <w:szCs w:val="27"/>
        </w:rPr>
        <w:br/>
      </w:r>
      <w:r w:rsidRPr="00B35E33">
        <w:rPr>
          <w:rFonts w:ascii="Tahoma" w:eastAsia="Times New Roman" w:hAnsi="Tahoma" w:cs="Tahoma"/>
          <w:b/>
          <w:bCs/>
          <w:i/>
          <w:iCs/>
          <w:color w:val="333399"/>
          <w:sz w:val="27"/>
        </w:rPr>
        <w:t>pentru perioada 2008-2013</w:t>
      </w:r>
    </w:p>
    <w:p w:rsidR="00B35E33" w:rsidRPr="00B35E33" w:rsidRDefault="00B35E33" w:rsidP="00B35E33">
      <w:pPr>
        <w:spacing w:after="0" w:line="255" w:lineRule="atLeast"/>
        <w:rPr>
          <w:rFonts w:ascii="Arial" w:eastAsia="Times New Roman" w:hAnsi="Arial" w:cs="Arial"/>
          <w:color w:val="000000"/>
          <w:sz w:val="20"/>
          <w:szCs w:val="20"/>
        </w:rPr>
      </w:pPr>
      <w:r w:rsidRPr="00B35E33">
        <w:rPr>
          <w:rFonts w:ascii="Tahoma" w:eastAsia="Times New Roman" w:hAnsi="Tahoma" w:cs="Tahoma"/>
          <w:color w:val="000000"/>
          <w:sz w:val="20"/>
          <w:szCs w:val="20"/>
        </w:rPr>
        <w:t> </w:t>
      </w:r>
    </w:p>
    <w:p w:rsidR="00B35E33" w:rsidRPr="00B35E33" w:rsidRDefault="00B35E33" w:rsidP="00B35E33">
      <w:pPr>
        <w:spacing w:after="0" w:line="255" w:lineRule="atLeast"/>
        <w:rPr>
          <w:rFonts w:ascii="Arial" w:eastAsia="Times New Roman" w:hAnsi="Arial" w:cs="Arial"/>
          <w:color w:val="000000"/>
          <w:sz w:val="20"/>
          <w:szCs w:val="20"/>
        </w:rPr>
      </w:pPr>
      <w:r w:rsidRPr="00B35E33">
        <w:rPr>
          <w:rFonts w:ascii="Tahoma" w:eastAsia="Times New Roman" w:hAnsi="Tahoma" w:cs="Tahoma"/>
          <w:color w:val="000000"/>
          <w:sz w:val="20"/>
          <w:szCs w:val="20"/>
        </w:rPr>
        <w:t> </w:t>
      </w:r>
    </w:p>
    <w:p w:rsidR="00B35E33" w:rsidRPr="00B35E33" w:rsidRDefault="00B35E33" w:rsidP="00B35E33">
      <w:pPr>
        <w:spacing w:after="0" w:line="255" w:lineRule="atLeast"/>
        <w:rPr>
          <w:rFonts w:ascii="Arial" w:eastAsia="Times New Roman" w:hAnsi="Arial" w:cs="Arial"/>
          <w:color w:val="000000"/>
          <w:sz w:val="20"/>
          <w:szCs w:val="20"/>
        </w:rPr>
      </w:pPr>
      <w:r w:rsidRPr="00B35E33">
        <w:rPr>
          <w:rFonts w:ascii="Tahoma" w:eastAsia="Times New Roman" w:hAnsi="Tahoma" w:cs="Tahoma"/>
          <w:b/>
          <w:bCs/>
          <w:color w:val="0000FF"/>
          <w:sz w:val="24"/>
          <w:szCs w:val="24"/>
        </w:rPr>
        <w:t>1. SITUAŢIA ŞI PROVOCĂRILE ACTUALE</w:t>
      </w:r>
    </w:p>
    <w:p w:rsidR="00B35E33" w:rsidRPr="00B35E33" w:rsidRDefault="00B35E33" w:rsidP="00B35E33">
      <w:pPr>
        <w:spacing w:after="0" w:line="255" w:lineRule="atLeast"/>
        <w:rPr>
          <w:rFonts w:ascii="Arial" w:eastAsia="Times New Roman" w:hAnsi="Arial" w:cs="Arial"/>
          <w:color w:val="000000"/>
          <w:sz w:val="20"/>
          <w:szCs w:val="20"/>
        </w:rPr>
      </w:pPr>
      <w:r w:rsidRPr="00B35E33">
        <w:rPr>
          <w:rFonts w:ascii="Tahoma" w:eastAsia="Times New Roman" w:hAnsi="Tahoma" w:cs="Tahoma"/>
          <w:color w:val="000000"/>
          <w:sz w:val="20"/>
          <w:szCs w:val="20"/>
        </w:rPr>
        <w:t> </w:t>
      </w:r>
    </w:p>
    <w:p w:rsidR="00B35E33" w:rsidRPr="00B35E33" w:rsidRDefault="00B35E33" w:rsidP="00B35E33">
      <w:pPr>
        <w:spacing w:after="0" w:line="255" w:lineRule="atLeast"/>
        <w:rPr>
          <w:rFonts w:ascii="Arial" w:eastAsia="Times New Roman" w:hAnsi="Arial" w:cs="Arial"/>
          <w:color w:val="000000"/>
          <w:sz w:val="20"/>
          <w:szCs w:val="20"/>
        </w:rPr>
      </w:pPr>
      <w:r w:rsidRPr="00B35E33">
        <w:rPr>
          <w:rFonts w:ascii="Tahoma" w:eastAsia="Times New Roman" w:hAnsi="Tahoma" w:cs="Tahoma"/>
          <w:color w:val="000000"/>
          <w:sz w:val="20"/>
          <w:szCs w:val="20"/>
        </w:rPr>
        <w:t>Strategia, Universităţii TITU MAIORESCU din Bucureşti în domeniul Cercetării, Dezvoltării şi Inovării (CDI) pentru perioada 2008 - 2013 are la bază rolul ştiinţei, tehnologiei si inovării în dezvoltarea societăţii cunoaşterii în România, pentru progresul economic şi social.</w:t>
      </w:r>
      <w:r w:rsidRPr="00B35E33">
        <w:rPr>
          <w:rFonts w:ascii="Tahoma" w:eastAsia="Times New Roman" w:hAnsi="Tahoma" w:cs="Tahoma"/>
          <w:color w:val="000000"/>
          <w:sz w:val="20"/>
          <w:szCs w:val="20"/>
        </w:rPr>
        <w:br/>
      </w:r>
      <w:r w:rsidRPr="00B35E33">
        <w:rPr>
          <w:rFonts w:ascii="Tahoma" w:eastAsia="Times New Roman" w:hAnsi="Tahoma" w:cs="Tahoma"/>
          <w:color w:val="000000"/>
          <w:sz w:val="20"/>
          <w:szCs w:val="20"/>
        </w:rPr>
        <w:br/>
        <w:t>Pentru elaborarea strategiei, a fost realizată o amplă analiză a stării sistemului CDI din universitate, cu puncte tari, puncte slabe, oportunităţi şi riscuri, în contextul social şi economic naţional, dar şi prin prisma globalizării şi integrării în Uniunea Europeană. Au fost consultate cadrele didactice reprezentative din U.T.M. şi s-a avut în vedere complementaritatea, sinergia şi strânsa legatură cu documentele economice şi politice naţionale, strategia din domeniul educatiei, în mod deosebit în domeniul învăţământului superior, planuri, inclusiv Planul Naţional de Cercetare, Dezvoltare şi Inovare – PN II.</w:t>
      </w:r>
      <w:r w:rsidRPr="00B35E33">
        <w:rPr>
          <w:rFonts w:ascii="Tahoma" w:eastAsia="Times New Roman" w:hAnsi="Tahoma" w:cs="Tahoma"/>
          <w:color w:val="000000"/>
          <w:sz w:val="20"/>
          <w:szCs w:val="20"/>
        </w:rPr>
        <w:br/>
        <w:t> </w:t>
      </w:r>
    </w:p>
    <w:p w:rsidR="00B35E33" w:rsidRPr="00B35E33" w:rsidRDefault="00B35E33" w:rsidP="00B35E33">
      <w:pPr>
        <w:spacing w:after="0" w:line="255" w:lineRule="atLeast"/>
        <w:rPr>
          <w:rFonts w:ascii="Arial" w:eastAsia="Times New Roman" w:hAnsi="Arial" w:cs="Arial"/>
          <w:color w:val="000000"/>
          <w:sz w:val="20"/>
          <w:szCs w:val="20"/>
        </w:rPr>
      </w:pPr>
      <w:r w:rsidRPr="00B35E33">
        <w:rPr>
          <w:rFonts w:ascii="Tahoma" w:eastAsia="Times New Roman" w:hAnsi="Tahoma" w:cs="Tahoma"/>
          <w:color w:val="000000"/>
          <w:sz w:val="20"/>
          <w:szCs w:val="20"/>
        </w:rPr>
        <w:t>Strategia oferă baza pentru organizarea sistemului CDI şi stabileste principiile de baza în domeniul CDI: evaluarea programelor, proiectelor; evaluarea instituţiilor publice (universitati si institute de cercetare); corelarea performanţă - finanţare instituţională; promovarea în carieră pe bază de performanţe profesionale recunoscute international; atragerea de tineri doctoranzi, cercetători post-doctorat, precum si de cercetători cu experienţă, performanţi, intensificarea legăturilor stiinţifice şi de colaborare cu parteneri din ţară şi străinătate; dezvoltarea şi susţinerea participarii în programe si proiecte; dialogul permanent cu studenţii.</w:t>
      </w:r>
      <w:r w:rsidRPr="00B35E33">
        <w:rPr>
          <w:rFonts w:ascii="Tahoma" w:eastAsia="Times New Roman" w:hAnsi="Tahoma" w:cs="Tahoma"/>
          <w:color w:val="000000"/>
          <w:sz w:val="20"/>
          <w:szCs w:val="20"/>
        </w:rPr>
        <w:br/>
        <w:t> </w:t>
      </w:r>
    </w:p>
    <w:p w:rsidR="00B35E33" w:rsidRPr="00B35E33" w:rsidRDefault="00B35E33" w:rsidP="00B35E33">
      <w:pPr>
        <w:spacing w:after="240" w:line="255" w:lineRule="atLeast"/>
        <w:rPr>
          <w:rFonts w:ascii="Arial" w:eastAsia="Times New Roman" w:hAnsi="Arial" w:cs="Arial"/>
          <w:color w:val="000000"/>
          <w:sz w:val="20"/>
          <w:szCs w:val="20"/>
        </w:rPr>
      </w:pPr>
      <w:r w:rsidRPr="00B35E33">
        <w:rPr>
          <w:rFonts w:ascii="Tahoma" w:eastAsia="Times New Roman" w:hAnsi="Tahoma" w:cs="Tahoma"/>
          <w:color w:val="000000"/>
          <w:sz w:val="20"/>
          <w:szCs w:val="20"/>
        </w:rPr>
        <w:t>Deoarece universităţile sunt chemate alături de celelalte entităţi de cercetare să se transforme în actori importanţi pe piaţa cunoaşterii, atragând şi dezvoltând resurse umane de vârf şi concentrând facilităţi de cercetare importante, implicarea în cercetare si legăturile tot mai strânse cu mediul economic au devenit nu doar surse suplimentare de venit, ci elemente intrinseci ale procesului de educaţie şi formare în U.T.M, implicată în lupta pentru excelenţă, în triunghiul cunoaşterii, educaţie-cercetare-inovare.</w:t>
      </w:r>
    </w:p>
    <w:p w:rsidR="00B35E33" w:rsidRPr="00B35E33" w:rsidRDefault="00B35E33" w:rsidP="00B35E33">
      <w:pPr>
        <w:spacing w:after="0" w:line="255" w:lineRule="atLeast"/>
        <w:rPr>
          <w:rFonts w:ascii="Arial" w:eastAsia="Times New Roman" w:hAnsi="Arial" w:cs="Arial"/>
          <w:color w:val="000000"/>
          <w:sz w:val="20"/>
          <w:szCs w:val="20"/>
        </w:rPr>
      </w:pPr>
      <w:r w:rsidRPr="00B35E33">
        <w:rPr>
          <w:rFonts w:ascii="Tahoma" w:eastAsia="Times New Roman" w:hAnsi="Tahoma" w:cs="Tahoma"/>
          <w:color w:val="000000"/>
          <w:sz w:val="20"/>
          <w:szCs w:val="20"/>
        </w:rPr>
        <w:t>Implementarea strategiei U.T.M. se va face prin instrumente specifice care îsi gasesc corespondenta în programele prevăzute în Cadrul Financiar 2007-2013, respectiv:</w:t>
      </w:r>
    </w:p>
    <w:p w:rsidR="00B35E33" w:rsidRPr="00B35E33" w:rsidRDefault="00B35E33" w:rsidP="00B35E33">
      <w:pPr>
        <w:numPr>
          <w:ilvl w:val="0"/>
          <w:numId w:val="1"/>
        </w:numPr>
        <w:spacing w:after="0" w:line="255" w:lineRule="atLeast"/>
        <w:ind w:left="0"/>
        <w:rPr>
          <w:rFonts w:ascii="Arial" w:eastAsia="Times New Roman" w:hAnsi="Arial" w:cs="Arial"/>
          <w:color w:val="000000"/>
          <w:sz w:val="20"/>
          <w:szCs w:val="20"/>
        </w:rPr>
      </w:pPr>
      <w:r w:rsidRPr="00B35E33">
        <w:rPr>
          <w:rFonts w:ascii="Tahoma" w:eastAsia="Times New Roman" w:hAnsi="Tahoma" w:cs="Tahoma"/>
          <w:b/>
          <w:bCs/>
          <w:i/>
          <w:iCs/>
          <w:color w:val="000000"/>
          <w:sz w:val="20"/>
        </w:rPr>
        <w:t>Programul  Cadru VII  pentru Cercetare</w:t>
      </w:r>
      <w:r w:rsidRPr="00B35E33">
        <w:rPr>
          <w:rFonts w:ascii="Tahoma" w:eastAsia="Times New Roman" w:hAnsi="Tahoma" w:cs="Tahoma"/>
          <w:color w:val="000000"/>
          <w:sz w:val="20"/>
          <w:szCs w:val="20"/>
        </w:rPr>
        <w:t>, principalul instrument prin care se sustin activitatile de cercetare-dezvoltare, colaborarea transnatională în domeniu, cercetarea de frontieră (coordonată de Consiliul European al Cercetării) precum şi reţelele de excelenţă;</w:t>
      </w:r>
    </w:p>
    <w:p w:rsidR="00B35E33" w:rsidRPr="00B35E33" w:rsidRDefault="00B35E33" w:rsidP="00B35E33">
      <w:pPr>
        <w:numPr>
          <w:ilvl w:val="0"/>
          <w:numId w:val="1"/>
        </w:numPr>
        <w:spacing w:after="0" w:line="255" w:lineRule="atLeast"/>
        <w:ind w:left="0"/>
        <w:rPr>
          <w:rFonts w:ascii="Arial" w:eastAsia="Times New Roman" w:hAnsi="Arial" w:cs="Arial"/>
          <w:color w:val="000000"/>
          <w:sz w:val="20"/>
          <w:szCs w:val="20"/>
        </w:rPr>
      </w:pPr>
      <w:r w:rsidRPr="00B35E33">
        <w:rPr>
          <w:rFonts w:ascii="Tahoma" w:eastAsia="Times New Roman" w:hAnsi="Tahoma" w:cs="Tahoma"/>
          <w:b/>
          <w:bCs/>
          <w:i/>
          <w:iCs/>
          <w:color w:val="000000"/>
          <w:sz w:val="20"/>
        </w:rPr>
        <w:t>Programul privind Competitivitate şi Inovare</w:t>
      </w:r>
      <w:r w:rsidRPr="00B35E33">
        <w:rPr>
          <w:rFonts w:ascii="Tahoma" w:eastAsia="Times New Roman" w:hAnsi="Tahoma" w:cs="Tahoma"/>
          <w:color w:val="000000"/>
          <w:sz w:val="20"/>
          <w:szCs w:val="20"/>
        </w:rPr>
        <w:t>, care susţine inovarea şi dezvoltarea IMM-urilor, oferind suport financiar (în special pentru start-up) şi susţinând o retea transnatională de transfer tehnologic precum si numeroase alte initiative, fară a implica însă activităţi de cercetare sau educaţie;</w:t>
      </w:r>
    </w:p>
    <w:p w:rsidR="00B35E33" w:rsidRPr="00B35E33" w:rsidRDefault="00B35E33" w:rsidP="00B35E33">
      <w:pPr>
        <w:numPr>
          <w:ilvl w:val="0"/>
          <w:numId w:val="1"/>
        </w:numPr>
        <w:spacing w:after="0" w:line="255" w:lineRule="atLeast"/>
        <w:ind w:left="0"/>
        <w:rPr>
          <w:rFonts w:ascii="Arial" w:eastAsia="Times New Roman" w:hAnsi="Arial" w:cs="Arial"/>
          <w:color w:val="000000"/>
          <w:sz w:val="20"/>
          <w:szCs w:val="20"/>
        </w:rPr>
      </w:pPr>
      <w:r w:rsidRPr="00B35E33">
        <w:rPr>
          <w:rFonts w:ascii="Tahoma" w:eastAsia="Times New Roman" w:hAnsi="Tahoma" w:cs="Tahoma"/>
          <w:b/>
          <w:bCs/>
          <w:i/>
          <w:iCs/>
          <w:color w:val="000000"/>
          <w:sz w:val="20"/>
        </w:rPr>
        <w:t>Programul Educaţie &amp; Pregătire 2010</w:t>
      </w:r>
      <w:r w:rsidRPr="00B35E33">
        <w:rPr>
          <w:rFonts w:ascii="Tahoma" w:eastAsia="Times New Roman" w:hAnsi="Tahoma" w:cs="Tahoma"/>
          <w:color w:val="000000"/>
          <w:sz w:val="20"/>
          <w:szCs w:val="20"/>
        </w:rPr>
        <w:t>, prin care statele membre sunt susţinute în adaptarea sistemului de educaţie şi formare în direcţia atingerii obiectivelor Lisabona, cuprinzând şi o componentă de mobilitate şi cooperare;</w:t>
      </w:r>
    </w:p>
    <w:p w:rsidR="00B35E33" w:rsidRPr="00B35E33" w:rsidRDefault="00B35E33" w:rsidP="00B35E33">
      <w:pPr>
        <w:numPr>
          <w:ilvl w:val="0"/>
          <w:numId w:val="1"/>
        </w:numPr>
        <w:spacing w:after="0" w:line="255" w:lineRule="atLeast"/>
        <w:ind w:left="0"/>
        <w:rPr>
          <w:rFonts w:ascii="Arial" w:eastAsia="Times New Roman" w:hAnsi="Arial" w:cs="Arial"/>
          <w:color w:val="000000"/>
          <w:sz w:val="20"/>
          <w:szCs w:val="20"/>
        </w:rPr>
      </w:pPr>
      <w:r w:rsidRPr="00B35E33">
        <w:rPr>
          <w:rFonts w:ascii="Tahoma" w:eastAsia="Times New Roman" w:hAnsi="Tahoma" w:cs="Tahoma"/>
          <w:b/>
          <w:bCs/>
          <w:i/>
          <w:iCs/>
          <w:color w:val="000000"/>
          <w:sz w:val="20"/>
        </w:rPr>
        <w:t>Programele de coeziune economică şi socială</w:t>
      </w:r>
      <w:r w:rsidRPr="00B35E33">
        <w:rPr>
          <w:rFonts w:ascii="Tahoma" w:eastAsia="Times New Roman" w:hAnsi="Tahoma" w:cs="Tahoma"/>
          <w:color w:val="000000"/>
          <w:sz w:val="20"/>
          <w:szCs w:val="20"/>
        </w:rPr>
        <w:t>, prin intermediul cărora statele, sau mai exact regiunile sunt finanţate cu sume importante în direcţia reducerii decalajelor structurale, domeniul CDI fiind recomandat ca unul prioritar.</w:t>
      </w:r>
    </w:p>
    <w:p w:rsidR="00B35E33" w:rsidRPr="00B35E33" w:rsidRDefault="00B35E33" w:rsidP="00B35E33">
      <w:pPr>
        <w:spacing w:after="240" w:line="255" w:lineRule="atLeast"/>
        <w:rPr>
          <w:rFonts w:ascii="Arial" w:eastAsia="Times New Roman" w:hAnsi="Arial" w:cs="Arial"/>
          <w:color w:val="000000"/>
          <w:sz w:val="20"/>
          <w:szCs w:val="20"/>
        </w:rPr>
      </w:pPr>
      <w:r w:rsidRPr="00B35E33">
        <w:rPr>
          <w:rFonts w:ascii="Tahoma" w:eastAsia="Times New Roman" w:hAnsi="Tahoma" w:cs="Tahoma"/>
          <w:b/>
          <w:bCs/>
          <w:color w:val="000000"/>
          <w:sz w:val="24"/>
          <w:szCs w:val="24"/>
        </w:rPr>
        <w:br/>
      </w:r>
      <w:r w:rsidRPr="00B35E33">
        <w:rPr>
          <w:rFonts w:ascii="Tahoma" w:eastAsia="Times New Roman" w:hAnsi="Tahoma" w:cs="Tahoma"/>
          <w:b/>
          <w:bCs/>
          <w:color w:val="0000FF"/>
          <w:sz w:val="24"/>
          <w:szCs w:val="24"/>
        </w:rPr>
        <w:t>2. PREMISELE INTERNE ALE U.T.M.</w:t>
      </w:r>
      <w:r w:rsidRPr="00B35E33">
        <w:rPr>
          <w:rFonts w:ascii="Tahoma" w:eastAsia="Times New Roman" w:hAnsi="Tahoma" w:cs="Tahoma"/>
          <w:b/>
          <w:bCs/>
          <w:color w:val="000000"/>
          <w:sz w:val="24"/>
          <w:szCs w:val="24"/>
        </w:rPr>
        <w:br/>
      </w:r>
      <w:r w:rsidRPr="00B35E33">
        <w:rPr>
          <w:rFonts w:ascii="Tahoma" w:eastAsia="Times New Roman" w:hAnsi="Tahoma" w:cs="Tahoma"/>
          <w:color w:val="000000"/>
          <w:sz w:val="20"/>
          <w:szCs w:val="20"/>
        </w:rPr>
        <w:lastRenderedPageBreak/>
        <w:br/>
        <w:t>Chiar dacă sistemul CDI din U.T.M. nu a reuşit până în prezent să genereze prea multe exemple de succes în transferul rezultatelor în practica socio-economică, acesta a reuşit să menţină sau să se dezvolte prin participarea la proiecte de cercetare lansate prin PNCDI şi Programul de Cercetare de excelenţă – CEEX lansate de Autoritatea Naţională pentru Cercetarea Ştiinţifică, valorificându-se astfel potenţialul de cercetare (cadre didactice) cu o certă valoare didactică şi ştiinţifică.</w:t>
      </w:r>
      <w:r w:rsidRPr="00B35E33">
        <w:rPr>
          <w:rFonts w:ascii="Tahoma" w:eastAsia="Times New Roman" w:hAnsi="Tahoma" w:cs="Tahoma"/>
          <w:color w:val="000000"/>
          <w:sz w:val="20"/>
          <w:szCs w:val="20"/>
        </w:rPr>
        <w:br/>
      </w:r>
      <w:r w:rsidRPr="00B35E33">
        <w:rPr>
          <w:rFonts w:ascii="Tahoma" w:eastAsia="Times New Roman" w:hAnsi="Tahoma" w:cs="Tahoma"/>
          <w:color w:val="000000"/>
          <w:sz w:val="20"/>
          <w:szCs w:val="20"/>
        </w:rPr>
        <w:br/>
        <w:t>Sistemul de învăţământ din U.T.M., prin domeniile de pregătire acreditate (drept, ştiinţe economice, informatică, psihologie, medicină şi medicină dentară), îşi propune să contribuie la dezvoltarea interesului şi aptitudinilor de cercetare şi inovare ale tinerilor pe întreg parcursul educaţional, (cu accent pe numărul şi calitatea masteranzilor şi doctoranzilor), să dezvolte abilităţile specifice de cercetare, în special multidisciplinară. Interconectarea sa cu sistemul CDI permite selectia, motivarea si sustinerea celor mai performanti tineri pentru o cariera în cercetare, atât în domeniul public, cât şi în cadrul firmelor.</w:t>
      </w:r>
      <w:r w:rsidRPr="00B35E33">
        <w:rPr>
          <w:rFonts w:ascii="Tahoma" w:eastAsia="Times New Roman" w:hAnsi="Tahoma" w:cs="Tahoma"/>
          <w:color w:val="000000"/>
          <w:sz w:val="20"/>
          <w:szCs w:val="20"/>
        </w:rPr>
        <w:br/>
      </w:r>
      <w:r w:rsidRPr="00B35E33">
        <w:rPr>
          <w:rFonts w:ascii="Tahoma" w:eastAsia="Times New Roman" w:hAnsi="Tahoma" w:cs="Tahoma"/>
          <w:color w:val="000000"/>
          <w:sz w:val="20"/>
          <w:szCs w:val="20"/>
        </w:rPr>
        <w:br/>
        <w:t>Mobilitatea internaţională reprezintă o dimensiune cheie a pregătirii studenţilor potenţiali viitori cercetători.</w:t>
      </w:r>
      <w:r w:rsidRPr="00B35E33">
        <w:rPr>
          <w:rFonts w:ascii="Tahoma" w:eastAsia="Times New Roman" w:hAnsi="Tahoma" w:cs="Tahoma"/>
          <w:color w:val="000000"/>
          <w:sz w:val="20"/>
        </w:rPr>
        <w:t> </w:t>
      </w:r>
      <w:r w:rsidRPr="00B35E33">
        <w:rPr>
          <w:rFonts w:ascii="Tahoma" w:eastAsia="Times New Roman" w:hAnsi="Tahoma" w:cs="Tahoma"/>
          <w:color w:val="000000"/>
          <w:sz w:val="20"/>
          <w:szCs w:val="20"/>
        </w:rPr>
        <w:t>Dezvoltarea unei infrastructuri de CDI adecvate în U.T.M., simultan cu creşterea gradului de utilizare, va conduce la îmbunătăţirea ratei de succes la participarea cu propuneri de proiecte de cercetare la competiţiile naţionale şi internaţionale si cresterea gradului de recuperare a fondurilor investite în cercetare şi a contribuţiei la programul cadru de cercetare al UE.</w:t>
      </w:r>
    </w:p>
    <w:p w:rsidR="00B35E33" w:rsidRPr="00B35E33" w:rsidRDefault="00B35E33" w:rsidP="00B35E33">
      <w:pPr>
        <w:spacing w:after="240" w:line="255" w:lineRule="atLeast"/>
        <w:rPr>
          <w:rFonts w:ascii="Arial" w:eastAsia="Times New Roman" w:hAnsi="Arial" w:cs="Arial"/>
          <w:color w:val="000000"/>
          <w:sz w:val="20"/>
          <w:szCs w:val="20"/>
        </w:rPr>
      </w:pPr>
      <w:r w:rsidRPr="00B35E33">
        <w:rPr>
          <w:rFonts w:ascii="Tahoma" w:eastAsia="Times New Roman" w:hAnsi="Tahoma" w:cs="Tahoma"/>
          <w:b/>
          <w:bCs/>
          <w:color w:val="0000FF"/>
          <w:sz w:val="24"/>
          <w:szCs w:val="24"/>
        </w:rPr>
        <w:t>3. OBIECTIVELE STRATEGICE ALE SISTEMULUI CDI DIN U.T.M.</w:t>
      </w:r>
    </w:p>
    <w:p w:rsidR="00B35E33" w:rsidRPr="00B35E33" w:rsidRDefault="00B35E33" w:rsidP="00B35E33">
      <w:pPr>
        <w:spacing w:after="0" w:line="255" w:lineRule="atLeast"/>
        <w:rPr>
          <w:rFonts w:ascii="Arial" w:eastAsia="Times New Roman" w:hAnsi="Arial" w:cs="Arial"/>
          <w:color w:val="000000"/>
          <w:sz w:val="20"/>
          <w:szCs w:val="20"/>
        </w:rPr>
      </w:pPr>
      <w:r w:rsidRPr="00B35E33">
        <w:rPr>
          <w:rFonts w:ascii="Tahoma" w:eastAsia="Times New Roman" w:hAnsi="Tahoma" w:cs="Tahoma"/>
          <w:color w:val="000000"/>
          <w:sz w:val="20"/>
          <w:szCs w:val="20"/>
        </w:rPr>
        <w:t>Sistemul CDI din România are rolul de a dezvolta ştiinţa şi tehnologia cu scopul de a creşte competitivitatea economiei româneşti, de a îmbunătăţi calitatea socială şi de a spori cunoaşterea cu potenţial de valorificare şi lărgire a orizontului de actiune.</w:t>
      </w:r>
    </w:p>
    <w:p w:rsidR="00B35E33" w:rsidRPr="00B35E33" w:rsidRDefault="00B35E33" w:rsidP="00B35E33">
      <w:pPr>
        <w:spacing w:after="0" w:line="255" w:lineRule="atLeast"/>
        <w:rPr>
          <w:rFonts w:ascii="Arial" w:eastAsia="Times New Roman" w:hAnsi="Arial" w:cs="Arial"/>
          <w:color w:val="000000"/>
          <w:sz w:val="20"/>
          <w:szCs w:val="20"/>
        </w:rPr>
      </w:pPr>
      <w:r w:rsidRPr="00B35E33">
        <w:rPr>
          <w:rFonts w:ascii="Tahoma" w:eastAsia="Times New Roman" w:hAnsi="Tahoma" w:cs="Tahoma"/>
          <w:color w:val="000000"/>
          <w:sz w:val="20"/>
          <w:szCs w:val="20"/>
        </w:rPr>
        <w:br/>
        <w:t>Având la bază obiectivele strategice ale sistemului CDI naţional, prin dezvoltarea activităţii de cercetare ştiinţifică, U.T.M. îşi propune în perioada 2008-2013 următoarele:</w:t>
      </w:r>
    </w:p>
    <w:p w:rsidR="00B35E33" w:rsidRPr="00B35E33" w:rsidRDefault="00B35E33" w:rsidP="00B35E33">
      <w:pPr>
        <w:spacing w:after="0" w:line="255" w:lineRule="atLeast"/>
        <w:rPr>
          <w:rFonts w:ascii="Arial" w:eastAsia="Times New Roman" w:hAnsi="Arial" w:cs="Arial"/>
          <w:color w:val="000000"/>
          <w:sz w:val="20"/>
          <w:szCs w:val="20"/>
        </w:rPr>
      </w:pPr>
      <w:r w:rsidRPr="00B35E33">
        <w:rPr>
          <w:rFonts w:ascii="Tahoma" w:eastAsia="Times New Roman" w:hAnsi="Tahoma" w:cs="Tahoma"/>
          <w:color w:val="000000"/>
          <w:sz w:val="20"/>
          <w:szCs w:val="20"/>
        </w:rPr>
        <w:br/>
      </w:r>
      <w:r w:rsidRPr="00B35E33">
        <w:rPr>
          <w:rFonts w:ascii="Tahoma" w:eastAsia="Times New Roman" w:hAnsi="Tahoma" w:cs="Tahoma"/>
          <w:b/>
          <w:bCs/>
          <w:color w:val="000000"/>
          <w:sz w:val="20"/>
        </w:rPr>
        <w:t>1.</w:t>
      </w:r>
      <w:r w:rsidRPr="00B35E33">
        <w:rPr>
          <w:rFonts w:ascii="Tahoma" w:eastAsia="Times New Roman" w:hAnsi="Tahoma" w:cs="Tahoma"/>
          <w:color w:val="000000"/>
          <w:sz w:val="20"/>
        </w:rPr>
        <w:t> </w:t>
      </w:r>
      <w:r w:rsidRPr="00B35E33">
        <w:rPr>
          <w:rFonts w:ascii="Tahoma" w:eastAsia="Times New Roman" w:hAnsi="Tahoma" w:cs="Tahoma"/>
          <w:b/>
          <w:bCs/>
          <w:i/>
          <w:iCs/>
          <w:color w:val="000000"/>
          <w:sz w:val="20"/>
        </w:rPr>
        <w:t>Crearea de cunoaştere</w:t>
      </w:r>
      <w:r w:rsidRPr="00B35E33">
        <w:rPr>
          <w:rFonts w:ascii="Tahoma" w:eastAsia="Times New Roman" w:hAnsi="Tahoma" w:cs="Tahoma"/>
          <w:color w:val="000000"/>
          <w:sz w:val="20"/>
          <w:szCs w:val="20"/>
        </w:rPr>
        <w:t>, respectiv obţinerea unor rezultate ştiinţifice şi tehnologice de vârf, competitive pe plan european, având ca scop creşterea contributiei la dezvoltarea stocului mondial de cunoaştere şi la transferul rezultatelor în economie şi societate. Atingerea acestui obiectiv presupune integrarea în reţelele internaţionale şi promovarea excelenţei în cercetare. Un accent deosebit se va pune pe formarea tinerilor cercetători în şcoli masterale şi doctorale sau postgraduale de excelenţă, care sa le asigure o pregătire corespunzatoare şi dezvoltarea capacităţii de a realiza cercetări avansate. Pentru aceasta va trebui ca şcolile să fie atractive pentru cercetători performanţi, cu experientă în supervizarea tinerilor, indiferent de naţionalitate.</w:t>
      </w:r>
    </w:p>
    <w:p w:rsidR="00B35E33" w:rsidRPr="00B35E33" w:rsidRDefault="00B35E33" w:rsidP="00B35E33">
      <w:pPr>
        <w:spacing w:after="0" w:line="255" w:lineRule="atLeast"/>
        <w:rPr>
          <w:rFonts w:ascii="Arial" w:eastAsia="Times New Roman" w:hAnsi="Arial" w:cs="Arial"/>
          <w:color w:val="000000"/>
          <w:sz w:val="20"/>
          <w:szCs w:val="20"/>
        </w:rPr>
      </w:pPr>
      <w:r w:rsidRPr="00B35E33">
        <w:rPr>
          <w:rFonts w:ascii="Tahoma" w:eastAsia="Times New Roman" w:hAnsi="Tahoma" w:cs="Tahoma"/>
          <w:color w:val="000000"/>
          <w:sz w:val="20"/>
          <w:szCs w:val="20"/>
        </w:rPr>
        <w:br/>
      </w:r>
      <w:r w:rsidRPr="00B35E33">
        <w:rPr>
          <w:rFonts w:ascii="Tahoma" w:eastAsia="Times New Roman" w:hAnsi="Tahoma" w:cs="Tahoma"/>
          <w:b/>
          <w:bCs/>
          <w:color w:val="000000"/>
          <w:sz w:val="20"/>
        </w:rPr>
        <w:t>2.</w:t>
      </w:r>
      <w:r w:rsidRPr="00B35E33">
        <w:rPr>
          <w:rFonts w:ascii="Tahoma" w:eastAsia="Times New Roman" w:hAnsi="Tahoma" w:cs="Tahoma"/>
          <w:color w:val="000000"/>
          <w:sz w:val="20"/>
        </w:rPr>
        <w:t> </w:t>
      </w:r>
      <w:r w:rsidRPr="00B35E33">
        <w:rPr>
          <w:rFonts w:ascii="Tahoma" w:eastAsia="Times New Roman" w:hAnsi="Tahoma" w:cs="Tahoma"/>
          <w:b/>
          <w:bCs/>
          <w:i/>
          <w:iCs/>
          <w:color w:val="000000"/>
          <w:sz w:val="20"/>
        </w:rPr>
        <w:t>Creşterea calităţii sociale</w:t>
      </w:r>
      <w:r w:rsidRPr="00B35E33">
        <w:rPr>
          <w:rFonts w:ascii="Tahoma" w:eastAsia="Times New Roman" w:hAnsi="Tahoma" w:cs="Tahoma"/>
          <w:color w:val="000000"/>
          <w:sz w:val="20"/>
        </w:rPr>
        <w:t> </w:t>
      </w:r>
      <w:r w:rsidRPr="00B35E33">
        <w:rPr>
          <w:rFonts w:ascii="Tahoma" w:eastAsia="Times New Roman" w:hAnsi="Tahoma" w:cs="Tahoma"/>
          <w:color w:val="000000"/>
          <w:sz w:val="20"/>
          <w:szCs w:val="20"/>
        </w:rPr>
        <w:t>prin dezvoltarea de soluţii, inclusiv tehnologice, care să genereze beneficii directe la nivelul societăţii. Din aceasta categorie fac parte solutiile la probleme locale, regionale si naţionale legate de coeziunea şi dinamica socială, creşterea eficienţei politicilor, precum şi probleme legate de sănătate, mediu, infrastructură.</w:t>
      </w:r>
    </w:p>
    <w:p w:rsidR="00B35E33" w:rsidRPr="00B35E33" w:rsidRDefault="00B35E33" w:rsidP="00B35E33">
      <w:pPr>
        <w:spacing w:after="0" w:line="255" w:lineRule="atLeast"/>
        <w:rPr>
          <w:rFonts w:ascii="Arial" w:eastAsia="Times New Roman" w:hAnsi="Arial" w:cs="Arial"/>
          <w:color w:val="000000"/>
          <w:sz w:val="20"/>
          <w:szCs w:val="20"/>
        </w:rPr>
      </w:pPr>
      <w:r w:rsidRPr="00B35E33">
        <w:rPr>
          <w:rFonts w:ascii="Tahoma" w:eastAsia="Times New Roman" w:hAnsi="Tahoma" w:cs="Tahoma"/>
          <w:color w:val="000000"/>
          <w:sz w:val="20"/>
          <w:szCs w:val="20"/>
        </w:rPr>
        <w:br/>
        <w:t>În realizarea acestor obiective strategice, U.T.M., prin Departamentul pentru cercetare ştiinţifică, centrele şi colectivele de cercetare din facultăţi, va avea în vedere urmatoarele obiective specifice de creştere a performanţei:</w:t>
      </w:r>
    </w:p>
    <w:p w:rsidR="00B35E33" w:rsidRPr="00B35E33" w:rsidRDefault="00B35E33" w:rsidP="00B35E33">
      <w:pPr>
        <w:numPr>
          <w:ilvl w:val="0"/>
          <w:numId w:val="2"/>
        </w:numPr>
        <w:spacing w:after="0" w:line="255" w:lineRule="atLeast"/>
        <w:ind w:left="0"/>
        <w:rPr>
          <w:rFonts w:ascii="Tahoma" w:eastAsia="Times New Roman" w:hAnsi="Tahoma" w:cs="Tahoma"/>
          <w:color w:val="000000"/>
          <w:sz w:val="20"/>
          <w:szCs w:val="20"/>
        </w:rPr>
      </w:pPr>
      <w:r w:rsidRPr="00B35E33">
        <w:rPr>
          <w:rFonts w:ascii="Tahoma" w:eastAsia="Times New Roman" w:hAnsi="Tahoma" w:cs="Tahoma"/>
          <w:color w:val="000000"/>
          <w:sz w:val="20"/>
          <w:szCs w:val="20"/>
        </w:rPr>
        <w:t>Obţinerea unor rezultate ştiinţifice de excelenţă, reflectate în creşterea numărului de articole în publicaţii din fluxul principal de cunoaştere (reviste cotate ISI, B+)</w:t>
      </w:r>
    </w:p>
    <w:p w:rsidR="00B35E33" w:rsidRPr="00B35E33" w:rsidRDefault="00B35E33" w:rsidP="00B35E33">
      <w:pPr>
        <w:numPr>
          <w:ilvl w:val="0"/>
          <w:numId w:val="2"/>
        </w:numPr>
        <w:spacing w:after="0" w:line="255" w:lineRule="atLeast"/>
        <w:ind w:left="0"/>
        <w:rPr>
          <w:rFonts w:ascii="Tahoma" w:eastAsia="Times New Roman" w:hAnsi="Tahoma" w:cs="Tahoma"/>
          <w:color w:val="000000"/>
          <w:sz w:val="20"/>
          <w:szCs w:val="20"/>
        </w:rPr>
      </w:pPr>
      <w:r w:rsidRPr="00B35E33">
        <w:rPr>
          <w:rFonts w:ascii="Tahoma" w:eastAsia="Times New Roman" w:hAnsi="Tahoma" w:cs="Tahoma"/>
          <w:color w:val="000000"/>
          <w:sz w:val="20"/>
          <w:szCs w:val="20"/>
        </w:rPr>
        <w:t>Creşterea contribuţiei cercetătorilor din universitate la realizarea unor brevete de invenţie;</w:t>
      </w:r>
    </w:p>
    <w:p w:rsidR="00B35E33" w:rsidRPr="00B35E33" w:rsidRDefault="00B35E33" w:rsidP="00B35E33">
      <w:pPr>
        <w:numPr>
          <w:ilvl w:val="0"/>
          <w:numId w:val="2"/>
        </w:numPr>
        <w:spacing w:after="0" w:line="255" w:lineRule="atLeast"/>
        <w:ind w:left="0"/>
        <w:rPr>
          <w:rFonts w:ascii="Tahoma" w:eastAsia="Times New Roman" w:hAnsi="Tahoma" w:cs="Tahoma"/>
          <w:color w:val="000000"/>
          <w:sz w:val="20"/>
          <w:szCs w:val="20"/>
        </w:rPr>
      </w:pPr>
      <w:r w:rsidRPr="00B35E33">
        <w:rPr>
          <w:rFonts w:ascii="Tahoma" w:eastAsia="Times New Roman" w:hAnsi="Tahoma" w:cs="Tahoma"/>
          <w:color w:val="000000"/>
          <w:sz w:val="20"/>
          <w:szCs w:val="20"/>
        </w:rPr>
        <w:lastRenderedPageBreak/>
        <w:t>Dublarea numărului de cercetători până în anul 2013, concomitent cu descreşterea mediei de vârstă a cercetătorilor, sub 40 de ani;</w:t>
      </w:r>
    </w:p>
    <w:p w:rsidR="00B35E33" w:rsidRPr="00B35E33" w:rsidRDefault="00B35E33" w:rsidP="00B35E33">
      <w:pPr>
        <w:numPr>
          <w:ilvl w:val="0"/>
          <w:numId w:val="2"/>
        </w:numPr>
        <w:spacing w:after="0" w:line="255" w:lineRule="atLeast"/>
        <w:ind w:left="0"/>
        <w:rPr>
          <w:rFonts w:ascii="Tahoma" w:eastAsia="Times New Roman" w:hAnsi="Tahoma" w:cs="Tahoma"/>
          <w:color w:val="000000"/>
          <w:sz w:val="20"/>
          <w:szCs w:val="20"/>
        </w:rPr>
      </w:pPr>
      <w:r w:rsidRPr="00B35E33">
        <w:rPr>
          <w:rFonts w:ascii="Tahoma" w:eastAsia="Times New Roman" w:hAnsi="Tahoma" w:cs="Tahoma"/>
          <w:color w:val="000000"/>
          <w:sz w:val="20"/>
          <w:szCs w:val="20"/>
        </w:rPr>
        <w:t>Asigurarea în fiecare an a unui număr ridicat de burse doctorale;</w:t>
      </w:r>
    </w:p>
    <w:p w:rsidR="00B35E33" w:rsidRPr="00B35E33" w:rsidRDefault="00B35E33" w:rsidP="00B35E33">
      <w:pPr>
        <w:numPr>
          <w:ilvl w:val="0"/>
          <w:numId w:val="2"/>
        </w:numPr>
        <w:spacing w:after="0" w:line="255" w:lineRule="atLeast"/>
        <w:ind w:left="0"/>
        <w:rPr>
          <w:rFonts w:ascii="Tahoma" w:eastAsia="Times New Roman" w:hAnsi="Tahoma" w:cs="Tahoma"/>
          <w:color w:val="000000"/>
          <w:sz w:val="20"/>
          <w:szCs w:val="20"/>
        </w:rPr>
      </w:pPr>
      <w:r w:rsidRPr="00B35E33">
        <w:rPr>
          <w:rFonts w:ascii="Tahoma" w:eastAsia="Times New Roman" w:hAnsi="Tahoma" w:cs="Tahoma"/>
          <w:color w:val="000000"/>
          <w:sz w:val="20"/>
          <w:szCs w:val="20"/>
        </w:rPr>
        <w:t>Creşterea ponderii doctorilor şi doctoranzilor pâna la peste 50% din totalitatea cercetatorilor;</w:t>
      </w:r>
    </w:p>
    <w:p w:rsidR="00B35E33" w:rsidRPr="00B35E33" w:rsidRDefault="00B35E33" w:rsidP="00B35E33">
      <w:pPr>
        <w:numPr>
          <w:ilvl w:val="0"/>
          <w:numId w:val="2"/>
        </w:numPr>
        <w:spacing w:after="0" w:line="255" w:lineRule="atLeast"/>
        <w:ind w:left="0"/>
        <w:rPr>
          <w:rFonts w:ascii="Tahoma" w:eastAsia="Times New Roman" w:hAnsi="Tahoma" w:cs="Tahoma"/>
          <w:color w:val="000000"/>
          <w:sz w:val="20"/>
          <w:szCs w:val="20"/>
        </w:rPr>
      </w:pPr>
      <w:r w:rsidRPr="00B35E33">
        <w:rPr>
          <w:rFonts w:ascii="Tahoma" w:eastAsia="Times New Roman" w:hAnsi="Tahoma" w:cs="Tahoma"/>
          <w:color w:val="000000"/>
          <w:sz w:val="20"/>
          <w:szCs w:val="20"/>
        </w:rPr>
        <w:t>Creşterea atractivităţii carierei în cercetare prin asigurarea accesului şi posibilitatea dezvoltării carierei pentru cei performanţi;</w:t>
      </w:r>
    </w:p>
    <w:p w:rsidR="00B35E33" w:rsidRPr="00B35E33" w:rsidRDefault="00B35E33" w:rsidP="00B35E33">
      <w:pPr>
        <w:numPr>
          <w:ilvl w:val="0"/>
          <w:numId w:val="2"/>
        </w:numPr>
        <w:spacing w:after="0" w:line="255" w:lineRule="atLeast"/>
        <w:ind w:left="0"/>
        <w:rPr>
          <w:rFonts w:ascii="Tahoma" w:eastAsia="Times New Roman" w:hAnsi="Tahoma" w:cs="Tahoma"/>
          <w:color w:val="000000"/>
          <w:sz w:val="20"/>
          <w:szCs w:val="20"/>
        </w:rPr>
      </w:pPr>
      <w:r w:rsidRPr="00B35E33">
        <w:rPr>
          <w:rFonts w:ascii="Tahoma" w:eastAsia="Times New Roman" w:hAnsi="Tahoma" w:cs="Tahoma"/>
          <w:color w:val="000000"/>
          <w:sz w:val="20"/>
          <w:szCs w:val="20"/>
        </w:rPr>
        <w:t>Atragerea de cercetători cu experienţă, tineri cercetători postdoctoranzi şi doctoranzi indiferent de naţionalitate;</w:t>
      </w:r>
    </w:p>
    <w:p w:rsidR="00B35E33" w:rsidRPr="00B35E33" w:rsidRDefault="00B35E33" w:rsidP="00B35E33">
      <w:pPr>
        <w:numPr>
          <w:ilvl w:val="0"/>
          <w:numId w:val="2"/>
        </w:numPr>
        <w:spacing w:after="0" w:line="255" w:lineRule="atLeast"/>
        <w:ind w:left="0"/>
        <w:rPr>
          <w:rFonts w:ascii="Tahoma" w:eastAsia="Times New Roman" w:hAnsi="Tahoma" w:cs="Tahoma"/>
          <w:color w:val="000000"/>
          <w:sz w:val="20"/>
          <w:szCs w:val="20"/>
        </w:rPr>
      </w:pPr>
      <w:r w:rsidRPr="00B35E33">
        <w:rPr>
          <w:rFonts w:ascii="Tahoma" w:eastAsia="Times New Roman" w:hAnsi="Tahoma" w:cs="Tahoma"/>
          <w:color w:val="000000"/>
          <w:sz w:val="20"/>
          <w:szCs w:val="20"/>
        </w:rPr>
        <w:t>Creşterea accesului la infrastructuri de cercetare performante prin stimularea crearii de laboratoare performante cu utilizatori multipli;</w:t>
      </w:r>
    </w:p>
    <w:p w:rsidR="00B35E33" w:rsidRPr="00B35E33" w:rsidRDefault="00B35E33" w:rsidP="00B35E33">
      <w:pPr>
        <w:numPr>
          <w:ilvl w:val="0"/>
          <w:numId w:val="2"/>
        </w:numPr>
        <w:spacing w:after="0" w:line="255" w:lineRule="atLeast"/>
        <w:ind w:left="0"/>
        <w:rPr>
          <w:rFonts w:ascii="Tahoma" w:eastAsia="Times New Roman" w:hAnsi="Tahoma" w:cs="Tahoma"/>
          <w:color w:val="000000"/>
          <w:sz w:val="20"/>
          <w:szCs w:val="20"/>
        </w:rPr>
      </w:pPr>
      <w:r w:rsidRPr="00B35E33">
        <w:rPr>
          <w:rFonts w:ascii="Tahoma" w:eastAsia="Times New Roman" w:hAnsi="Tahoma" w:cs="Tahoma"/>
          <w:color w:val="000000"/>
          <w:sz w:val="20"/>
          <w:szCs w:val="20"/>
        </w:rPr>
        <w:t>Stimularea participării mediului privat la CDI, inclusiv pentru creşterea capacitatii de inovare, dezvoltare tehnologică şi asimilare în producţie a rezultatelor cercetării;</w:t>
      </w:r>
    </w:p>
    <w:p w:rsidR="00B35E33" w:rsidRPr="00B35E33" w:rsidRDefault="00B35E33" w:rsidP="00B35E33">
      <w:pPr>
        <w:numPr>
          <w:ilvl w:val="0"/>
          <w:numId w:val="2"/>
        </w:numPr>
        <w:spacing w:after="0" w:line="255" w:lineRule="atLeast"/>
        <w:ind w:left="0"/>
        <w:rPr>
          <w:rFonts w:ascii="Tahoma" w:eastAsia="Times New Roman" w:hAnsi="Tahoma" w:cs="Tahoma"/>
          <w:color w:val="000000"/>
          <w:sz w:val="20"/>
          <w:szCs w:val="20"/>
        </w:rPr>
      </w:pPr>
      <w:r w:rsidRPr="00B35E33">
        <w:rPr>
          <w:rFonts w:ascii="Tahoma" w:eastAsia="Times New Roman" w:hAnsi="Tahoma" w:cs="Tahoma"/>
          <w:color w:val="000000"/>
          <w:sz w:val="20"/>
          <w:szCs w:val="20"/>
        </w:rPr>
        <w:t>Dezvoltarea parteneriatelor public-privat în stiinţă şi tehnologie prin crearea unor centre de competenţă, cât şi a unor interfeţe specializate între cererea şi oferta de CDI;</w:t>
      </w:r>
    </w:p>
    <w:p w:rsidR="00B35E33" w:rsidRPr="00B35E33" w:rsidRDefault="00B35E33" w:rsidP="00B35E33">
      <w:pPr>
        <w:numPr>
          <w:ilvl w:val="0"/>
          <w:numId w:val="2"/>
        </w:numPr>
        <w:spacing w:after="0" w:line="255" w:lineRule="atLeast"/>
        <w:ind w:left="0"/>
        <w:rPr>
          <w:rFonts w:ascii="Tahoma" w:eastAsia="Times New Roman" w:hAnsi="Tahoma" w:cs="Tahoma"/>
          <w:color w:val="000000"/>
          <w:sz w:val="20"/>
          <w:szCs w:val="20"/>
        </w:rPr>
      </w:pPr>
      <w:r w:rsidRPr="00B35E33">
        <w:rPr>
          <w:rFonts w:ascii="Tahoma" w:eastAsia="Times New Roman" w:hAnsi="Tahoma" w:cs="Tahoma"/>
          <w:color w:val="000000"/>
          <w:sz w:val="20"/>
          <w:szCs w:val="20"/>
        </w:rPr>
        <w:t>Reducerea fragmentării sistemului de cercetare din universitate prin stimularea colaborării şi a participării la proiecte, care să asigure masa critică şi obţinerea de rezultate valoroase;</w:t>
      </w:r>
    </w:p>
    <w:p w:rsidR="00B35E33" w:rsidRPr="00B35E33" w:rsidRDefault="00B35E33" w:rsidP="00B35E33">
      <w:pPr>
        <w:numPr>
          <w:ilvl w:val="0"/>
          <w:numId w:val="2"/>
        </w:numPr>
        <w:spacing w:after="0" w:line="255" w:lineRule="atLeast"/>
        <w:ind w:left="0"/>
        <w:rPr>
          <w:rFonts w:ascii="Tahoma" w:eastAsia="Times New Roman" w:hAnsi="Tahoma" w:cs="Tahoma"/>
          <w:color w:val="000000"/>
          <w:sz w:val="20"/>
          <w:szCs w:val="20"/>
        </w:rPr>
      </w:pPr>
      <w:r w:rsidRPr="00B35E33">
        <w:rPr>
          <w:rFonts w:ascii="Tahoma" w:eastAsia="Times New Roman" w:hAnsi="Tahoma" w:cs="Tahoma"/>
          <w:color w:val="000000"/>
          <w:sz w:val="20"/>
          <w:szCs w:val="20"/>
        </w:rPr>
        <w:t>Transformarea U.T.M. într-o entitate a cunoaşterii şi creşterea capacităţii acesteia de colaborare cu alte universităţi precum şi cu firmele şi marile companii;</w:t>
      </w:r>
    </w:p>
    <w:p w:rsidR="00B35E33" w:rsidRPr="00B35E33" w:rsidRDefault="00B35E33" w:rsidP="00B35E33">
      <w:pPr>
        <w:numPr>
          <w:ilvl w:val="0"/>
          <w:numId w:val="2"/>
        </w:numPr>
        <w:spacing w:after="0" w:line="255" w:lineRule="atLeast"/>
        <w:ind w:left="0"/>
        <w:rPr>
          <w:rFonts w:ascii="Tahoma" w:eastAsia="Times New Roman" w:hAnsi="Tahoma" w:cs="Tahoma"/>
          <w:color w:val="000000"/>
          <w:sz w:val="20"/>
          <w:szCs w:val="20"/>
        </w:rPr>
      </w:pPr>
      <w:r w:rsidRPr="00B35E33">
        <w:rPr>
          <w:rFonts w:ascii="Tahoma" w:eastAsia="Times New Roman" w:hAnsi="Tahoma" w:cs="Tahoma"/>
          <w:color w:val="000000"/>
          <w:sz w:val="20"/>
          <w:szCs w:val="20"/>
        </w:rPr>
        <w:t>O mai bună reprezentare a U.T.M. prin experţii săi, în instituţii şi organisme reprezentative CDI la nivel european şi naţional.</w:t>
      </w:r>
    </w:p>
    <w:p w:rsidR="00B35E33" w:rsidRPr="00B35E33" w:rsidRDefault="00B35E33" w:rsidP="00B35E33">
      <w:pPr>
        <w:spacing w:after="0" w:line="255" w:lineRule="atLeast"/>
        <w:rPr>
          <w:rFonts w:ascii="Tahoma" w:eastAsia="Times New Roman" w:hAnsi="Tahoma" w:cs="Tahoma"/>
          <w:color w:val="000000"/>
          <w:sz w:val="20"/>
          <w:szCs w:val="20"/>
        </w:rPr>
      </w:pPr>
      <w:r w:rsidRPr="00B35E33">
        <w:rPr>
          <w:rFonts w:ascii="Tahoma" w:eastAsia="Times New Roman" w:hAnsi="Tahoma" w:cs="Tahoma"/>
          <w:b/>
          <w:bCs/>
          <w:color w:val="000000"/>
          <w:sz w:val="24"/>
          <w:szCs w:val="24"/>
        </w:rPr>
        <w:br/>
      </w:r>
      <w:r w:rsidRPr="00B35E33">
        <w:rPr>
          <w:rFonts w:ascii="Tahoma" w:eastAsia="Times New Roman" w:hAnsi="Tahoma" w:cs="Tahoma"/>
          <w:b/>
          <w:bCs/>
          <w:color w:val="0000FF"/>
          <w:sz w:val="24"/>
          <w:szCs w:val="24"/>
        </w:rPr>
        <w:t>4. CERCETAREA EXPLORATORIE ŞI DE FRONTIERĂ</w:t>
      </w:r>
      <w:r w:rsidRPr="00B35E33">
        <w:rPr>
          <w:rFonts w:ascii="Tahoma" w:eastAsia="Times New Roman" w:hAnsi="Tahoma" w:cs="Tahoma"/>
          <w:b/>
          <w:bCs/>
          <w:color w:val="000000"/>
          <w:sz w:val="20"/>
          <w:szCs w:val="20"/>
        </w:rPr>
        <w:br/>
      </w:r>
      <w:r w:rsidRPr="00B35E33">
        <w:rPr>
          <w:rFonts w:ascii="Tahoma" w:eastAsia="Times New Roman" w:hAnsi="Tahoma" w:cs="Tahoma"/>
          <w:color w:val="000000"/>
          <w:sz w:val="20"/>
          <w:szCs w:val="20"/>
        </w:rPr>
        <w:br/>
        <w:t>Având în vedere importanţa cercetării fundamentale pentru dezvoltarea cunoaşterii şi formarea resursei umane înalt calificate, U.T.M. va pune accentul pe excelenţă, pe interdisciplinaritate şi vizibilitate internaţională. Vor fi sustinute propunerile de cercetări complexe în domenii de cercetare de excelenţă ca: medicina, informatica şi stiintele socio-umane (drept, psihologie, ştiinţe economice).</w:t>
      </w:r>
      <w:r w:rsidRPr="00B35E33">
        <w:rPr>
          <w:rFonts w:ascii="Tahoma" w:eastAsia="Times New Roman" w:hAnsi="Tahoma" w:cs="Tahoma"/>
          <w:color w:val="000000"/>
          <w:sz w:val="20"/>
          <w:szCs w:val="20"/>
        </w:rPr>
        <w:br/>
      </w:r>
      <w:r w:rsidRPr="00B35E33">
        <w:rPr>
          <w:rFonts w:ascii="Tahoma" w:eastAsia="Times New Roman" w:hAnsi="Tahoma" w:cs="Tahoma"/>
          <w:color w:val="000000"/>
          <w:sz w:val="20"/>
          <w:szCs w:val="20"/>
        </w:rPr>
        <w:br/>
        <w:t>Pentru acest tip de cercetări, relevanţa este pe termen lung. Nu sunt stabilite priorităţi pentru finanţarea temelor de cercetare, propunerile venind direct de la cercetători.</w:t>
      </w:r>
      <w:r w:rsidRPr="00B35E33">
        <w:rPr>
          <w:rFonts w:ascii="Tahoma" w:eastAsia="Times New Roman" w:hAnsi="Tahoma" w:cs="Tahoma"/>
          <w:color w:val="000000"/>
          <w:sz w:val="20"/>
          <w:szCs w:val="20"/>
        </w:rPr>
        <w:br/>
      </w:r>
      <w:r w:rsidRPr="00B35E33">
        <w:rPr>
          <w:rFonts w:ascii="Tahoma" w:eastAsia="Times New Roman" w:hAnsi="Tahoma" w:cs="Tahoma"/>
          <w:color w:val="000000"/>
          <w:sz w:val="20"/>
          <w:szCs w:val="20"/>
        </w:rPr>
        <w:br/>
        <w:t>U.T.M. va urmări dezvoltarea resursei umane capabile să atingă nivelul de integrare în fluxul internaţional de dezbatere ştiinţifică. Creşterea atractivităţii carierei în cercetare, în special pentru tineri, reprezintă un element critic al actualului sistem de cercetare din universitate, în care numărul de cadre didactice care lucrează şi în cercetare, raportat la numărul total, este relative redus. Pentru perioada 2008-2013, se va urmări creşterea atractivităţii carierei în cercetare prin burse şi acces la granturi de cercetare, în perioada formării iniţiale a cercetătorilor prin doctorat (stimulându-se cotutela internaţională şi mobilitatea), precum şi prin programe post-doctorale, cu precădere în domenii interdisciplinare.</w:t>
      </w:r>
      <w:r w:rsidRPr="00B35E33">
        <w:rPr>
          <w:rFonts w:ascii="Tahoma" w:eastAsia="Times New Roman" w:hAnsi="Tahoma" w:cs="Tahoma"/>
          <w:color w:val="000000"/>
          <w:sz w:val="20"/>
          <w:szCs w:val="20"/>
        </w:rPr>
        <w:br/>
      </w:r>
      <w:r w:rsidRPr="00B35E33">
        <w:rPr>
          <w:rFonts w:ascii="Tahoma" w:eastAsia="Times New Roman" w:hAnsi="Tahoma" w:cs="Tahoma"/>
          <w:color w:val="000000"/>
          <w:sz w:val="20"/>
          <w:szCs w:val="20"/>
        </w:rPr>
        <w:br/>
        <w:t>Consolidarea şcolilor doctorale şi crearea de şcoli post-graduale vor avea impact asupra calităţii programelor doctorale, cât şi a cercetărilor post-doctorat, contribuind la pregatirea unor cercetători performanţi. </w:t>
      </w:r>
      <w:r w:rsidRPr="00B35E33">
        <w:rPr>
          <w:rFonts w:ascii="Tahoma" w:eastAsia="Times New Roman" w:hAnsi="Tahoma" w:cs="Tahoma"/>
          <w:color w:val="000000"/>
          <w:sz w:val="20"/>
          <w:szCs w:val="20"/>
        </w:rPr>
        <w:br/>
      </w:r>
      <w:r w:rsidRPr="00B35E33">
        <w:rPr>
          <w:rFonts w:ascii="Tahoma" w:eastAsia="Times New Roman" w:hAnsi="Tahoma" w:cs="Tahoma"/>
          <w:color w:val="000000"/>
          <w:sz w:val="20"/>
          <w:szCs w:val="20"/>
        </w:rPr>
        <w:br/>
        <w:t>De asemenea, pentru personalităţi cu rezultate ştinţifice deosebite pe plan internaţional se va asigura finanţarea adecvată, necesară creării unor centre de excelenţă în universitate. </w:t>
      </w:r>
      <w:r w:rsidRPr="00B35E33">
        <w:rPr>
          <w:rFonts w:ascii="Tahoma" w:eastAsia="Times New Roman" w:hAnsi="Tahoma" w:cs="Tahoma"/>
          <w:color w:val="000000"/>
          <w:sz w:val="20"/>
          <w:szCs w:val="20"/>
        </w:rPr>
        <w:br/>
      </w:r>
      <w:r w:rsidRPr="00B35E33">
        <w:rPr>
          <w:rFonts w:ascii="Tahoma" w:eastAsia="Times New Roman" w:hAnsi="Tahoma" w:cs="Tahoma"/>
          <w:color w:val="000000"/>
          <w:sz w:val="20"/>
          <w:szCs w:val="20"/>
        </w:rPr>
        <w:br/>
        <w:t>U.T.M. va susţine dezvoltarea infrastructurii de cercetare prin creşterea gradului de utilizare, extinderea infrastructurii existente şi prin crearea de noi facilităţi care să contribuie la dezvoltarea resursei umane pentru cercetare.</w:t>
      </w:r>
      <w:r w:rsidRPr="00B35E33">
        <w:rPr>
          <w:rFonts w:ascii="Tahoma" w:eastAsia="Times New Roman" w:hAnsi="Tahoma" w:cs="Tahoma"/>
          <w:color w:val="000000"/>
          <w:sz w:val="20"/>
          <w:szCs w:val="20"/>
        </w:rPr>
        <w:br/>
      </w:r>
      <w:r w:rsidRPr="00B35E33">
        <w:rPr>
          <w:rFonts w:ascii="Tahoma" w:eastAsia="Times New Roman" w:hAnsi="Tahoma" w:cs="Tahoma"/>
          <w:color w:val="000000"/>
          <w:sz w:val="20"/>
          <w:szCs w:val="20"/>
        </w:rPr>
        <w:br/>
      </w:r>
      <w:r w:rsidRPr="00B35E33">
        <w:rPr>
          <w:rFonts w:ascii="Tahoma" w:eastAsia="Times New Roman" w:hAnsi="Tahoma" w:cs="Tahoma"/>
          <w:color w:val="000000"/>
          <w:sz w:val="20"/>
          <w:szCs w:val="20"/>
        </w:rPr>
        <w:lastRenderedPageBreak/>
        <w:t>În perioada 2008-2013, vor fi identificate oportunităţile de colaborare internaţională la proiecte de cercetare în cadrul unor apeluri comune de proiecte împreună cu alte ţări pe teme de inters sau pur şi simplu în cadrul unor proiectele de colaborare iniţiate la nivelul comunităţii ştiinţifice.</w:t>
      </w:r>
      <w:r w:rsidRPr="00B35E33">
        <w:rPr>
          <w:rFonts w:ascii="Tahoma" w:eastAsia="Times New Roman" w:hAnsi="Tahoma" w:cs="Tahoma"/>
          <w:color w:val="000000"/>
          <w:sz w:val="20"/>
          <w:szCs w:val="20"/>
        </w:rPr>
        <w:br/>
      </w:r>
      <w:r w:rsidRPr="00B35E33">
        <w:rPr>
          <w:rFonts w:ascii="Tahoma" w:eastAsia="Times New Roman" w:hAnsi="Tahoma" w:cs="Tahoma"/>
          <w:color w:val="000000"/>
          <w:sz w:val="20"/>
          <w:szCs w:val="20"/>
        </w:rPr>
        <w:br/>
        <w:t>Departamentul pentru cercetare ştiinţifică va identifica domeniul/domeniile în care să fie editată/editate reviste ştiinţifice, iar U.T.M. va susţine încadrarea lor la performanţe de prestigiu, pentru a îndeplini condiţiile de intrare în bazele indexate internaţional si în perspectiva pentru cresterea factorului lor de impact.</w:t>
      </w:r>
      <w:r w:rsidRPr="00B35E33">
        <w:rPr>
          <w:rFonts w:ascii="Tahoma" w:eastAsia="Times New Roman" w:hAnsi="Tahoma" w:cs="Tahoma"/>
          <w:color w:val="000000"/>
          <w:sz w:val="20"/>
          <w:szCs w:val="20"/>
        </w:rPr>
        <w:br/>
      </w:r>
      <w:r w:rsidRPr="00B35E33">
        <w:rPr>
          <w:rFonts w:ascii="Tahoma" w:eastAsia="Times New Roman" w:hAnsi="Tahoma" w:cs="Tahoma"/>
          <w:color w:val="000000"/>
          <w:sz w:val="20"/>
          <w:szCs w:val="20"/>
        </w:rPr>
        <w:br/>
        <w:t>Se va urmări o mai bună integrare a comunităţii ştiinţifice din U.T.M. în circuitul ştiinţific internaţional, prin accesul cercetătorilor la resursele de informare ştiintifică, participarea la conferinţe internaţionale, organizate în ţară sau străinătate, asigurarea unui acces larg la resurse de informare.</w:t>
      </w:r>
      <w:r w:rsidRPr="00B35E33">
        <w:rPr>
          <w:rFonts w:ascii="Tahoma" w:eastAsia="Times New Roman" w:hAnsi="Tahoma" w:cs="Tahoma"/>
          <w:color w:val="000000"/>
          <w:sz w:val="20"/>
          <w:szCs w:val="20"/>
        </w:rPr>
        <w:br/>
      </w:r>
      <w:r w:rsidRPr="00B35E33">
        <w:rPr>
          <w:rFonts w:ascii="Tahoma" w:eastAsia="Times New Roman" w:hAnsi="Tahoma" w:cs="Tahoma"/>
          <w:b/>
          <w:bCs/>
          <w:color w:val="000000"/>
          <w:sz w:val="20"/>
          <w:szCs w:val="20"/>
        </w:rPr>
        <w:br/>
      </w:r>
      <w:r w:rsidRPr="00B35E33">
        <w:rPr>
          <w:rFonts w:ascii="Tahoma" w:eastAsia="Times New Roman" w:hAnsi="Tahoma" w:cs="Tahoma"/>
          <w:b/>
          <w:bCs/>
          <w:color w:val="0000FF"/>
          <w:sz w:val="24"/>
          <w:szCs w:val="24"/>
        </w:rPr>
        <w:t>5. PRIORITĂŢILE U.T.M. ÎN ACTIVITATEA DE CERCETARE-DEZVOLTARE</w:t>
      </w:r>
    </w:p>
    <w:p w:rsidR="00B35E33" w:rsidRPr="00B35E33" w:rsidRDefault="00B35E33" w:rsidP="00B35E33">
      <w:pPr>
        <w:spacing w:after="0" w:line="255" w:lineRule="atLeast"/>
        <w:rPr>
          <w:rFonts w:ascii="Times New Roman" w:eastAsia="Times New Roman" w:hAnsi="Times New Roman" w:cs="Times New Roman"/>
          <w:sz w:val="24"/>
          <w:szCs w:val="24"/>
        </w:rPr>
      </w:pPr>
      <w:r w:rsidRPr="00B35E33">
        <w:rPr>
          <w:rFonts w:ascii="Tahoma" w:eastAsia="Times New Roman" w:hAnsi="Tahoma" w:cs="Tahoma"/>
          <w:color w:val="000000"/>
          <w:sz w:val="20"/>
          <w:szCs w:val="20"/>
        </w:rPr>
        <w:br/>
      </w:r>
      <w:r w:rsidRPr="00B35E33">
        <w:rPr>
          <w:rFonts w:ascii="Tahoma" w:eastAsia="Times New Roman" w:hAnsi="Tahoma" w:cs="Tahoma"/>
          <w:color w:val="000000"/>
          <w:sz w:val="20"/>
        </w:rPr>
        <w:t>Consiliul ştiinţific împreună cu Departamentul pentru cercetare ştiinţifică din  U.T.M., alături de cadrele didactice şi studenţii cu preocupări în cercetarea ştiinţifică, vor avea ca prioritate identificarea şi propunerea unor proiecte de cercetare</w:t>
      </w:r>
      <w:r w:rsidRPr="00B35E33">
        <w:rPr>
          <w:rFonts w:ascii="Tahoma" w:eastAsia="Times New Roman" w:hAnsi="Tahoma" w:cs="Tahoma"/>
          <w:b/>
          <w:bCs/>
          <w:color w:val="000000"/>
          <w:sz w:val="20"/>
        </w:rPr>
        <w:t>în parteneriat cu universităţi / instituţii de cercetare-dezvoltare şi întreprinderi din ţară sau din Europa, în perioada 2008-20012.</w:t>
      </w:r>
      <w:r w:rsidRPr="00B35E33">
        <w:rPr>
          <w:rFonts w:ascii="Tahoma" w:eastAsia="Times New Roman" w:hAnsi="Tahoma" w:cs="Tahoma"/>
          <w:b/>
          <w:bCs/>
          <w:color w:val="000000"/>
          <w:sz w:val="20"/>
          <w:szCs w:val="20"/>
        </w:rPr>
        <w:br/>
      </w:r>
      <w:r w:rsidRPr="00B35E33">
        <w:rPr>
          <w:rFonts w:ascii="Tahoma" w:eastAsia="Times New Roman" w:hAnsi="Tahoma" w:cs="Tahoma"/>
          <w:color w:val="000000"/>
          <w:sz w:val="20"/>
          <w:szCs w:val="20"/>
        </w:rPr>
        <w:br/>
      </w:r>
      <w:r w:rsidRPr="00B35E33">
        <w:rPr>
          <w:rFonts w:ascii="Tahoma" w:eastAsia="Times New Roman" w:hAnsi="Tahoma" w:cs="Tahoma"/>
          <w:color w:val="000000"/>
          <w:sz w:val="20"/>
        </w:rPr>
        <w:t>Domeniile din PN II, PC7 şi Fondurile structurale, pentru care se vor face propuneri conform obiectivelor acestora, la competiţiile organizate de conducătorii de programe sunt: </w:t>
      </w:r>
    </w:p>
    <w:p w:rsidR="00B35E33" w:rsidRPr="00B35E33" w:rsidRDefault="00B35E33" w:rsidP="00B35E33">
      <w:pPr>
        <w:numPr>
          <w:ilvl w:val="0"/>
          <w:numId w:val="3"/>
        </w:numPr>
        <w:spacing w:after="0" w:line="255" w:lineRule="atLeast"/>
        <w:ind w:left="0"/>
        <w:rPr>
          <w:rFonts w:ascii="Times New Roman" w:eastAsia="Times New Roman" w:hAnsi="Times New Roman" w:cs="Times New Roman"/>
          <w:sz w:val="24"/>
          <w:szCs w:val="24"/>
        </w:rPr>
      </w:pPr>
      <w:r w:rsidRPr="00B35E33">
        <w:rPr>
          <w:rFonts w:ascii="Tahoma" w:eastAsia="Times New Roman" w:hAnsi="Tahoma" w:cs="Tahoma"/>
          <w:b/>
          <w:bCs/>
          <w:color w:val="000000"/>
          <w:sz w:val="20"/>
        </w:rPr>
        <w:t>Tehnologiile societăţii informaţionale;</w:t>
      </w:r>
    </w:p>
    <w:p w:rsidR="00B35E33" w:rsidRPr="00B35E33" w:rsidRDefault="00B35E33" w:rsidP="00B35E33">
      <w:pPr>
        <w:numPr>
          <w:ilvl w:val="0"/>
          <w:numId w:val="3"/>
        </w:numPr>
        <w:spacing w:after="0" w:line="255" w:lineRule="atLeast"/>
        <w:ind w:left="0"/>
        <w:rPr>
          <w:rFonts w:ascii="Tahoma" w:eastAsia="Times New Roman" w:hAnsi="Tahoma" w:cs="Tahoma"/>
          <w:color w:val="000000"/>
          <w:sz w:val="20"/>
          <w:szCs w:val="20"/>
        </w:rPr>
      </w:pPr>
      <w:r w:rsidRPr="00B35E33">
        <w:rPr>
          <w:rFonts w:ascii="Tahoma" w:eastAsia="Times New Roman" w:hAnsi="Tahoma" w:cs="Tahoma"/>
          <w:b/>
          <w:bCs/>
          <w:color w:val="000000"/>
          <w:sz w:val="20"/>
        </w:rPr>
        <w:t>Sănătate;</w:t>
      </w:r>
    </w:p>
    <w:p w:rsidR="00B35E33" w:rsidRPr="00B35E33" w:rsidRDefault="00B35E33" w:rsidP="00B35E33">
      <w:pPr>
        <w:numPr>
          <w:ilvl w:val="0"/>
          <w:numId w:val="3"/>
        </w:numPr>
        <w:spacing w:after="0" w:line="255" w:lineRule="atLeast"/>
        <w:ind w:left="0"/>
        <w:rPr>
          <w:rFonts w:ascii="Tahoma" w:eastAsia="Times New Roman" w:hAnsi="Tahoma" w:cs="Tahoma"/>
          <w:color w:val="000000"/>
          <w:sz w:val="20"/>
          <w:szCs w:val="20"/>
        </w:rPr>
      </w:pPr>
      <w:r w:rsidRPr="00B35E33">
        <w:rPr>
          <w:rFonts w:ascii="Tahoma" w:eastAsia="Times New Roman" w:hAnsi="Tahoma" w:cs="Tahoma"/>
          <w:b/>
          <w:bCs/>
          <w:color w:val="000000"/>
          <w:sz w:val="20"/>
        </w:rPr>
        <w:t>Cercetari socio-economice şi umaniste.</w:t>
      </w:r>
    </w:p>
    <w:p w:rsidR="004D77C1" w:rsidRDefault="00B35E33" w:rsidP="00B35E33">
      <w:r w:rsidRPr="00B35E33">
        <w:rPr>
          <w:rFonts w:ascii="Tahoma" w:eastAsia="Times New Roman" w:hAnsi="Tahoma" w:cs="Tahoma"/>
          <w:b/>
          <w:bCs/>
          <w:color w:val="000000"/>
          <w:sz w:val="20"/>
          <w:szCs w:val="20"/>
        </w:rPr>
        <w:br/>
      </w:r>
      <w:r w:rsidRPr="00B35E33">
        <w:rPr>
          <w:rFonts w:ascii="Tahoma" w:eastAsia="Times New Roman" w:hAnsi="Tahoma" w:cs="Tahoma"/>
          <w:b/>
          <w:bCs/>
          <w:color w:val="0000FF"/>
          <w:sz w:val="24"/>
          <w:szCs w:val="24"/>
        </w:rPr>
        <w:t>6. IMPLEMENTAREA STRATEGIEI ÎN DOMENIUL ACTIVITĂŢII DE CDI</w:t>
      </w:r>
      <w:r w:rsidRPr="00B35E33">
        <w:rPr>
          <w:rFonts w:ascii="Tahoma" w:eastAsia="Times New Roman" w:hAnsi="Tahoma" w:cs="Tahoma"/>
          <w:b/>
          <w:bCs/>
          <w:color w:val="0000FF"/>
          <w:sz w:val="24"/>
          <w:szCs w:val="24"/>
        </w:rPr>
        <w:br/>
      </w:r>
      <w:r w:rsidRPr="00B35E33">
        <w:rPr>
          <w:rFonts w:ascii="Tahoma" w:eastAsia="Times New Roman" w:hAnsi="Tahoma" w:cs="Tahoma"/>
          <w:b/>
          <w:bCs/>
          <w:color w:val="0000FF"/>
          <w:sz w:val="24"/>
          <w:szCs w:val="24"/>
        </w:rPr>
        <w:br/>
      </w:r>
      <w:r w:rsidRPr="00B35E33">
        <w:rPr>
          <w:rFonts w:ascii="Tahoma" w:eastAsia="Times New Roman" w:hAnsi="Tahoma" w:cs="Tahoma"/>
          <w:color w:val="000000"/>
          <w:sz w:val="20"/>
        </w:rPr>
        <w:t>Strategia şi Rapoartele anuale ale activităţii de cercetare, Programul şi calendarul anual al manifestărilor ştiinţifice vor fi aprobate de Senatul U.T.M.</w:t>
      </w:r>
      <w:r w:rsidRPr="00B35E33">
        <w:rPr>
          <w:rFonts w:ascii="Tahoma" w:eastAsia="Times New Roman" w:hAnsi="Tahoma" w:cs="Tahoma"/>
          <w:color w:val="000000"/>
          <w:sz w:val="20"/>
          <w:szCs w:val="20"/>
        </w:rPr>
        <w:br/>
      </w:r>
      <w:r w:rsidRPr="00B35E33">
        <w:rPr>
          <w:rFonts w:ascii="Tahoma" w:eastAsia="Times New Roman" w:hAnsi="Tahoma" w:cs="Tahoma"/>
          <w:b/>
          <w:bCs/>
          <w:color w:val="000000"/>
          <w:sz w:val="20"/>
          <w:szCs w:val="20"/>
        </w:rPr>
        <w:br/>
      </w:r>
      <w:r w:rsidRPr="00B35E33">
        <w:rPr>
          <w:rFonts w:ascii="Tahoma" w:eastAsia="Times New Roman" w:hAnsi="Tahoma" w:cs="Tahoma"/>
          <w:b/>
          <w:bCs/>
          <w:color w:val="000000"/>
          <w:sz w:val="20"/>
        </w:rPr>
        <w:t>Pentru realizarea atribuţiilor sale şi pentru a dezvolta nivelul de coordonare ştiinţifică, implementare şi monitorizare, Consiliul ştiinţific şi Departamentul pentru cercetare ştiinţifică din U.T.M. vor urmări ca prevederile din Regulamentul de funcţionare al universităţii precum şi prevederile Regulamentului de organizare şi desfăşurare a activităţii de cercetare ştiinţifică, să fie puse în practică în vederea atingerii obiectivelor prezentei Strategii.</w:t>
      </w:r>
    </w:p>
    <w:sectPr w:rsidR="004D77C1" w:rsidSect="004D77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577EC"/>
    <w:multiLevelType w:val="multilevel"/>
    <w:tmpl w:val="6642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A54CE3"/>
    <w:multiLevelType w:val="multilevel"/>
    <w:tmpl w:val="CF46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0730BC"/>
    <w:multiLevelType w:val="multilevel"/>
    <w:tmpl w:val="9A8A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35E33"/>
    <w:rsid w:val="00124EE7"/>
    <w:rsid w:val="004D77C1"/>
    <w:rsid w:val="00B35E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7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35E33"/>
  </w:style>
  <w:style w:type="character" w:styleId="Strong">
    <w:name w:val="Strong"/>
    <w:basedOn w:val="DefaultParagraphFont"/>
    <w:uiPriority w:val="22"/>
    <w:qFormat/>
    <w:rsid w:val="00B35E33"/>
    <w:rPr>
      <w:b/>
      <w:bCs/>
    </w:rPr>
  </w:style>
  <w:style w:type="character" w:styleId="Emphasis">
    <w:name w:val="Emphasis"/>
    <w:basedOn w:val="DefaultParagraphFont"/>
    <w:uiPriority w:val="20"/>
    <w:qFormat/>
    <w:rsid w:val="00B35E33"/>
    <w:rPr>
      <w:i/>
      <w:iCs/>
    </w:rPr>
  </w:style>
  <w:style w:type="paragraph" w:styleId="NormalWeb">
    <w:name w:val="Normal (Web)"/>
    <w:basedOn w:val="Normal"/>
    <w:uiPriority w:val="99"/>
    <w:semiHidden/>
    <w:unhideWhenUsed/>
    <w:rsid w:val="00B35E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35E33"/>
  </w:style>
</w:styles>
</file>

<file path=word/webSettings.xml><?xml version="1.0" encoding="utf-8"?>
<w:webSettings xmlns:r="http://schemas.openxmlformats.org/officeDocument/2006/relationships" xmlns:w="http://schemas.openxmlformats.org/wordprocessingml/2006/main">
  <w:divs>
    <w:div w:id="810557234">
      <w:bodyDiv w:val="1"/>
      <w:marLeft w:val="0"/>
      <w:marRight w:val="0"/>
      <w:marTop w:val="0"/>
      <w:marBottom w:val="0"/>
      <w:divBdr>
        <w:top w:val="none" w:sz="0" w:space="0" w:color="auto"/>
        <w:left w:val="none" w:sz="0" w:space="0" w:color="auto"/>
        <w:bottom w:val="none" w:sz="0" w:space="0" w:color="auto"/>
        <w:right w:val="none" w:sz="0" w:space="0" w:color="auto"/>
      </w:divBdr>
      <w:divsChild>
        <w:div w:id="264580281">
          <w:marLeft w:val="0"/>
          <w:marRight w:val="0"/>
          <w:marTop w:val="0"/>
          <w:marBottom w:val="0"/>
          <w:divBdr>
            <w:top w:val="none" w:sz="0" w:space="0" w:color="auto"/>
            <w:left w:val="none" w:sz="0" w:space="0" w:color="auto"/>
            <w:bottom w:val="none" w:sz="0" w:space="0" w:color="auto"/>
            <w:right w:val="none" w:sz="0" w:space="0" w:color="auto"/>
          </w:divBdr>
        </w:div>
        <w:div w:id="1319922388">
          <w:marLeft w:val="0"/>
          <w:marRight w:val="0"/>
          <w:marTop w:val="0"/>
          <w:marBottom w:val="0"/>
          <w:divBdr>
            <w:top w:val="none" w:sz="0" w:space="0" w:color="auto"/>
            <w:left w:val="none" w:sz="0" w:space="0" w:color="auto"/>
            <w:bottom w:val="none" w:sz="0" w:space="0" w:color="auto"/>
            <w:right w:val="none" w:sz="0" w:space="0" w:color="auto"/>
          </w:divBdr>
        </w:div>
        <w:div w:id="18553047">
          <w:marLeft w:val="0"/>
          <w:marRight w:val="0"/>
          <w:marTop w:val="0"/>
          <w:marBottom w:val="0"/>
          <w:divBdr>
            <w:top w:val="none" w:sz="0" w:space="0" w:color="auto"/>
            <w:left w:val="none" w:sz="0" w:space="0" w:color="auto"/>
            <w:bottom w:val="none" w:sz="0" w:space="0" w:color="auto"/>
            <w:right w:val="none" w:sz="0" w:space="0" w:color="auto"/>
          </w:divBdr>
        </w:div>
        <w:div w:id="1955209067">
          <w:marLeft w:val="0"/>
          <w:marRight w:val="0"/>
          <w:marTop w:val="0"/>
          <w:marBottom w:val="0"/>
          <w:divBdr>
            <w:top w:val="none" w:sz="0" w:space="0" w:color="auto"/>
            <w:left w:val="none" w:sz="0" w:space="0" w:color="auto"/>
            <w:bottom w:val="none" w:sz="0" w:space="0" w:color="auto"/>
            <w:right w:val="none" w:sz="0" w:space="0" w:color="auto"/>
          </w:divBdr>
        </w:div>
        <w:div w:id="1427846408">
          <w:marLeft w:val="0"/>
          <w:marRight w:val="0"/>
          <w:marTop w:val="0"/>
          <w:marBottom w:val="0"/>
          <w:divBdr>
            <w:top w:val="none" w:sz="0" w:space="0" w:color="auto"/>
            <w:left w:val="none" w:sz="0" w:space="0" w:color="auto"/>
            <w:bottom w:val="none" w:sz="0" w:space="0" w:color="auto"/>
            <w:right w:val="none" w:sz="0" w:space="0" w:color="auto"/>
          </w:divBdr>
        </w:div>
        <w:div w:id="2137867423">
          <w:marLeft w:val="0"/>
          <w:marRight w:val="0"/>
          <w:marTop w:val="0"/>
          <w:marBottom w:val="0"/>
          <w:divBdr>
            <w:top w:val="none" w:sz="0" w:space="0" w:color="auto"/>
            <w:left w:val="none" w:sz="0" w:space="0" w:color="auto"/>
            <w:bottom w:val="none" w:sz="0" w:space="0" w:color="auto"/>
            <w:right w:val="none" w:sz="0" w:space="0" w:color="auto"/>
          </w:divBdr>
        </w:div>
        <w:div w:id="884489529">
          <w:marLeft w:val="0"/>
          <w:marRight w:val="0"/>
          <w:marTop w:val="0"/>
          <w:marBottom w:val="0"/>
          <w:divBdr>
            <w:top w:val="none" w:sz="0" w:space="0" w:color="auto"/>
            <w:left w:val="none" w:sz="0" w:space="0" w:color="auto"/>
            <w:bottom w:val="none" w:sz="0" w:space="0" w:color="auto"/>
            <w:right w:val="none" w:sz="0" w:space="0" w:color="auto"/>
          </w:divBdr>
        </w:div>
        <w:div w:id="1128860023">
          <w:marLeft w:val="0"/>
          <w:marRight w:val="0"/>
          <w:marTop w:val="0"/>
          <w:marBottom w:val="0"/>
          <w:divBdr>
            <w:top w:val="none" w:sz="0" w:space="0" w:color="auto"/>
            <w:left w:val="none" w:sz="0" w:space="0" w:color="auto"/>
            <w:bottom w:val="none" w:sz="0" w:space="0" w:color="auto"/>
            <w:right w:val="none" w:sz="0" w:space="0" w:color="auto"/>
          </w:divBdr>
        </w:div>
        <w:div w:id="1141968690">
          <w:marLeft w:val="0"/>
          <w:marRight w:val="0"/>
          <w:marTop w:val="0"/>
          <w:marBottom w:val="0"/>
          <w:divBdr>
            <w:top w:val="none" w:sz="0" w:space="0" w:color="auto"/>
            <w:left w:val="none" w:sz="0" w:space="0" w:color="auto"/>
            <w:bottom w:val="none" w:sz="0" w:space="0" w:color="auto"/>
            <w:right w:val="none" w:sz="0" w:space="0" w:color="auto"/>
          </w:divBdr>
        </w:div>
        <w:div w:id="181286192">
          <w:marLeft w:val="0"/>
          <w:marRight w:val="0"/>
          <w:marTop w:val="0"/>
          <w:marBottom w:val="0"/>
          <w:divBdr>
            <w:top w:val="none" w:sz="0" w:space="0" w:color="auto"/>
            <w:left w:val="none" w:sz="0" w:space="0" w:color="auto"/>
            <w:bottom w:val="none" w:sz="0" w:space="0" w:color="auto"/>
            <w:right w:val="none" w:sz="0" w:space="0" w:color="auto"/>
          </w:divBdr>
        </w:div>
        <w:div w:id="425007698">
          <w:marLeft w:val="0"/>
          <w:marRight w:val="0"/>
          <w:marTop w:val="0"/>
          <w:marBottom w:val="0"/>
          <w:divBdr>
            <w:top w:val="none" w:sz="0" w:space="0" w:color="auto"/>
            <w:left w:val="none" w:sz="0" w:space="0" w:color="auto"/>
            <w:bottom w:val="none" w:sz="0" w:space="0" w:color="auto"/>
            <w:right w:val="none" w:sz="0" w:space="0" w:color="auto"/>
          </w:divBdr>
        </w:div>
        <w:div w:id="1362241983">
          <w:marLeft w:val="0"/>
          <w:marRight w:val="0"/>
          <w:marTop w:val="0"/>
          <w:marBottom w:val="0"/>
          <w:divBdr>
            <w:top w:val="none" w:sz="0" w:space="0" w:color="auto"/>
            <w:left w:val="none" w:sz="0" w:space="0" w:color="auto"/>
            <w:bottom w:val="none" w:sz="0" w:space="0" w:color="auto"/>
            <w:right w:val="none" w:sz="0" w:space="0" w:color="auto"/>
          </w:divBdr>
        </w:div>
        <w:div w:id="94643661">
          <w:marLeft w:val="0"/>
          <w:marRight w:val="0"/>
          <w:marTop w:val="0"/>
          <w:marBottom w:val="0"/>
          <w:divBdr>
            <w:top w:val="none" w:sz="0" w:space="0" w:color="auto"/>
            <w:left w:val="none" w:sz="0" w:space="0" w:color="auto"/>
            <w:bottom w:val="none" w:sz="0" w:space="0" w:color="auto"/>
            <w:right w:val="none" w:sz="0" w:space="0" w:color="auto"/>
          </w:divBdr>
        </w:div>
        <w:div w:id="743261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1945</Words>
  <Characters>11088</Characters>
  <Application>Microsoft Office Word</Application>
  <DocSecurity>0</DocSecurity>
  <Lines>92</Lines>
  <Paragraphs>26</Paragraphs>
  <ScaleCrop>false</ScaleCrop>
  <Company>CALITATE</Company>
  <LinksUpToDate>false</LinksUpToDate>
  <CharactersWithSpaces>13007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utilizator</cp:lastModifiedBy>
  <cp:revision>1</cp:revision>
  <dcterms:created xsi:type="dcterms:W3CDTF">2011-03-21T13:46:00Z</dcterms:created>
  <dcterms:modified xsi:type="dcterms:W3CDTF">2011-03-21T13:47:00Z</dcterms:modified>
</cp:coreProperties>
</file>